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178A4" w14:textId="77777777" w:rsidR="008E703C" w:rsidRDefault="008E703C" w:rsidP="005C5FEC">
      <w:pPr>
        <w:shd w:val="clear" w:color="auto" w:fill="FFFFFF"/>
        <w:spacing w:after="0" w:line="240" w:lineRule="auto"/>
        <w:jc w:val="center"/>
        <w:rPr>
          <w:rFonts w:ascii="Arial" w:eastAsia="Times New Roman" w:hAnsi="Arial" w:cs="Arial"/>
          <w:b/>
          <w:bCs/>
          <w:color w:val="222222"/>
        </w:rPr>
      </w:pPr>
      <w:r>
        <w:rPr>
          <w:rFonts w:ascii="Arial" w:eastAsia="Times New Roman" w:hAnsi="Arial" w:cs="Arial"/>
          <w:b/>
          <w:bCs/>
          <w:color w:val="222222"/>
        </w:rPr>
        <w:t xml:space="preserve">Impact of Declining </w:t>
      </w:r>
      <w:r w:rsidR="005C305C">
        <w:rPr>
          <w:rFonts w:ascii="Arial" w:eastAsia="Times New Roman" w:hAnsi="Arial" w:cs="Arial"/>
          <w:b/>
          <w:bCs/>
          <w:color w:val="222222"/>
        </w:rPr>
        <w:t xml:space="preserve">Proposal </w:t>
      </w:r>
      <w:r>
        <w:rPr>
          <w:rFonts w:ascii="Arial" w:eastAsia="Times New Roman" w:hAnsi="Arial" w:cs="Arial"/>
          <w:b/>
          <w:bCs/>
          <w:color w:val="222222"/>
        </w:rPr>
        <w:t>Success Rates on Scientific Productivity</w:t>
      </w:r>
      <w:r w:rsidR="00EE4C36">
        <w:rPr>
          <w:rFonts w:ascii="Arial" w:eastAsia="Times New Roman" w:hAnsi="Arial" w:cs="Arial"/>
          <w:b/>
          <w:bCs/>
          <w:color w:val="222222"/>
        </w:rPr>
        <w:br/>
      </w:r>
    </w:p>
    <w:p w14:paraId="3EADCFFE" w14:textId="47B69952" w:rsidR="005C5FEC" w:rsidRPr="00737AB8" w:rsidRDefault="006745E2" w:rsidP="005C5FEC">
      <w:pPr>
        <w:shd w:val="clear" w:color="auto" w:fill="FFFFFF"/>
        <w:spacing w:after="0" w:line="240" w:lineRule="auto"/>
        <w:jc w:val="center"/>
        <w:rPr>
          <w:rFonts w:ascii="Arial" w:eastAsia="Times New Roman" w:hAnsi="Arial" w:cs="Arial"/>
          <w:bCs/>
          <w:color w:val="222222"/>
        </w:rPr>
      </w:pPr>
      <w:bookmarkStart w:id="0" w:name="_GoBack"/>
      <w:r>
        <w:rPr>
          <w:rFonts w:ascii="Arial" w:eastAsia="Times New Roman" w:hAnsi="Arial" w:cs="Arial"/>
          <w:bCs/>
          <w:color w:val="222222"/>
        </w:rPr>
        <w:t>September 11</w:t>
      </w:r>
      <w:r w:rsidR="00737AB8" w:rsidRPr="00737AB8">
        <w:rPr>
          <w:rFonts w:ascii="Arial" w:eastAsia="Times New Roman" w:hAnsi="Arial" w:cs="Arial"/>
          <w:bCs/>
          <w:color w:val="222222"/>
        </w:rPr>
        <w:t xml:space="preserve">, 2015 </w:t>
      </w:r>
    </w:p>
    <w:bookmarkEnd w:id="0"/>
    <w:p w14:paraId="2D1127C1" w14:textId="4B5A4E5D" w:rsidR="0086618B" w:rsidRDefault="0086618B" w:rsidP="0083184D">
      <w:pPr>
        <w:shd w:val="clear" w:color="auto" w:fill="FFFFFF"/>
        <w:spacing w:before="120" w:after="0" w:line="240" w:lineRule="auto"/>
        <w:jc w:val="center"/>
        <w:rPr>
          <w:rFonts w:ascii="Arial" w:eastAsia="Times New Roman" w:hAnsi="Arial" w:cs="Arial"/>
          <w:b/>
          <w:bCs/>
          <w:color w:val="222222"/>
          <w:sz w:val="20"/>
          <w:szCs w:val="20"/>
        </w:rPr>
      </w:pPr>
      <w:r>
        <w:rPr>
          <w:rFonts w:ascii="Arial" w:eastAsia="Times New Roman" w:hAnsi="Arial" w:cs="Arial"/>
          <w:b/>
          <w:bCs/>
          <w:color w:val="222222"/>
          <w:sz w:val="20"/>
          <w:szCs w:val="20"/>
        </w:rPr>
        <w:t>AAAC Proposal Pressures Study Group</w:t>
      </w:r>
      <w:r w:rsidR="00A37A9B">
        <w:rPr>
          <w:rFonts w:ascii="Arial" w:eastAsia="Times New Roman" w:hAnsi="Arial" w:cs="Arial"/>
          <w:b/>
          <w:bCs/>
          <w:color w:val="222222"/>
          <w:sz w:val="20"/>
          <w:szCs w:val="20"/>
        </w:rPr>
        <w:t xml:space="preserve"> </w:t>
      </w:r>
    </w:p>
    <w:p w14:paraId="062EE0D9" w14:textId="6A8B5FB7" w:rsidR="00787500" w:rsidRPr="00737AB8" w:rsidRDefault="00A37A9B" w:rsidP="00627CBE">
      <w:pPr>
        <w:shd w:val="clear" w:color="auto" w:fill="FFFFFF"/>
        <w:spacing w:after="240" w:line="240" w:lineRule="auto"/>
        <w:jc w:val="center"/>
        <w:rPr>
          <w:rFonts w:ascii="Arial" w:eastAsia="Times New Roman" w:hAnsi="Arial" w:cs="Arial"/>
          <w:bCs/>
          <w:color w:val="222222"/>
          <w:sz w:val="20"/>
          <w:szCs w:val="20"/>
        </w:rPr>
      </w:pPr>
      <w:r w:rsidRPr="00737AB8">
        <w:rPr>
          <w:rFonts w:ascii="Arial" w:eastAsia="Times New Roman" w:hAnsi="Arial" w:cs="Arial"/>
          <w:bCs/>
          <w:color w:val="222222"/>
          <w:sz w:val="20"/>
          <w:szCs w:val="20"/>
        </w:rPr>
        <w:t>Priscilla Cushman</w:t>
      </w:r>
      <w:r w:rsidR="006470B7" w:rsidRPr="00737AB8">
        <w:rPr>
          <w:rFonts w:ascii="Arial" w:eastAsia="Times New Roman" w:hAnsi="Arial" w:cs="Arial"/>
          <w:bCs/>
          <w:color w:val="222222"/>
          <w:sz w:val="20"/>
          <w:szCs w:val="20"/>
        </w:rPr>
        <w:t xml:space="preserve">, Todd </w:t>
      </w:r>
      <w:proofErr w:type="spellStart"/>
      <w:r w:rsidR="006470B7" w:rsidRPr="00737AB8">
        <w:rPr>
          <w:rFonts w:ascii="Arial" w:eastAsia="Times New Roman" w:hAnsi="Arial" w:cs="Arial"/>
          <w:bCs/>
          <w:color w:val="222222"/>
          <w:sz w:val="20"/>
          <w:szCs w:val="20"/>
        </w:rPr>
        <w:t>Hoeksema</w:t>
      </w:r>
      <w:proofErr w:type="spellEnd"/>
      <w:r w:rsidR="006470B7" w:rsidRPr="00737AB8">
        <w:rPr>
          <w:rFonts w:ascii="Arial" w:eastAsia="Times New Roman" w:hAnsi="Arial" w:cs="Arial"/>
          <w:bCs/>
          <w:color w:val="222222"/>
          <w:sz w:val="20"/>
          <w:szCs w:val="20"/>
        </w:rPr>
        <w:t xml:space="preserve">, </w:t>
      </w:r>
      <w:proofErr w:type="spellStart"/>
      <w:r w:rsidR="006470B7" w:rsidRPr="00737AB8">
        <w:rPr>
          <w:rFonts w:ascii="Arial" w:eastAsia="Times New Roman" w:hAnsi="Arial" w:cs="Arial"/>
          <w:bCs/>
          <w:color w:val="222222"/>
          <w:sz w:val="20"/>
          <w:szCs w:val="20"/>
        </w:rPr>
        <w:t>Chryssa</w:t>
      </w:r>
      <w:proofErr w:type="spellEnd"/>
      <w:r w:rsidR="006470B7" w:rsidRPr="00737AB8">
        <w:rPr>
          <w:rFonts w:ascii="Arial" w:eastAsia="Times New Roman" w:hAnsi="Arial" w:cs="Arial"/>
          <w:bCs/>
          <w:color w:val="222222"/>
          <w:sz w:val="20"/>
          <w:szCs w:val="20"/>
        </w:rPr>
        <w:t xml:space="preserve"> </w:t>
      </w:r>
      <w:proofErr w:type="spellStart"/>
      <w:r w:rsidR="006470B7" w:rsidRPr="00737AB8">
        <w:rPr>
          <w:rFonts w:ascii="Arial" w:eastAsia="Times New Roman" w:hAnsi="Arial" w:cs="Arial"/>
          <w:bCs/>
          <w:color w:val="222222"/>
          <w:sz w:val="20"/>
          <w:szCs w:val="20"/>
        </w:rPr>
        <w:t>Kouveliotou</w:t>
      </w:r>
      <w:proofErr w:type="spellEnd"/>
      <w:r w:rsidR="006470B7" w:rsidRPr="00737AB8">
        <w:rPr>
          <w:rFonts w:ascii="Arial" w:eastAsia="Times New Roman" w:hAnsi="Arial" w:cs="Arial"/>
          <w:bCs/>
          <w:color w:val="222222"/>
          <w:sz w:val="20"/>
          <w:szCs w:val="20"/>
        </w:rPr>
        <w:t xml:space="preserve">, James </w:t>
      </w:r>
      <w:proofErr w:type="spellStart"/>
      <w:r w:rsidR="006470B7" w:rsidRPr="00737AB8">
        <w:rPr>
          <w:rFonts w:ascii="Arial" w:eastAsia="Times New Roman" w:hAnsi="Arial" w:cs="Arial"/>
          <w:bCs/>
          <w:color w:val="222222"/>
          <w:sz w:val="20"/>
          <w:szCs w:val="20"/>
        </w:rPr>
        <w:t>Lowenthal</w:t>
      </w:r>
      <w:proofErr w:type="spellEnd"/>
      <w:r w:rsidR="006470B7" w:rsidRPr="00737AB8">
        <w:rPr>
          <w:rFonts w:ascii="Arial" w:eastAsia="Times New Roman" w:hAnsi="Arial" w:cs="Arial"/>
          <w:bCs/>
          <w:color w:val="222222"/>
          <w:sz w:val="20"/>
          <w:szCs w:val="20"/>
        </w:rPr>
        <w:t>,</w:t>
      </w:r>
      <w:r w:rsidR="00784748" w:rsidRPr="00737AB8">
        <w:rPr>
          <w:rFonts w:ascii="Arial" w:eastAsia="Times New Roman" w:hAnsi="Arial" w:cs="Arial"/>
          <w:bCs/>
          <w:color w:val="222222"/>
          <w:sz w:val="20"/>
          <w:szCs w:val="20"/>
        </w:rPr>
        <w:t xml:space="preserve"> </w:t>
      </w:r>
      <w:r w:rsidRPr="00737AB8">
        <w:rPr>
          <w:rFonts w:ascii="Arial" w:eastAsia="Times New Roman" w:hAnsi="Arial" w:cs="Arial"/>
          <w:bCs/>
          <w:color w:val="222222"/>
          <w:sz w:val="20"/>
          <w:szCs w:val="20"/>
        </w:rPr>
        <w:t>Brad</w:t>
      </w:r>
      <w:r w:rsidR="006470B7" w:rsidRPr="00737AB8">
        <w:rPr>
          <w:rFonts w:ascii="Arial" w:eastAsia="Times New Roman" w:hAnsi="Arial" w:cs="Arial"/>
          <w:bCs/>
          <w:color w:val="222222"/>
          <w:sz w:val="20"/>
          <w:szCs w:val="20"/>
        </w:rPr>
        <w:t>ley</w:t>
      </w:r>
      <w:r w:rsidRPr="00737AB8">
        <w:rPr>
          <w:rFonts w:ascii="Arial" w:eastAsia="Times New Roman" w:hAnsi="Arial" w:cs="Arial"/>
          <w:bCs/>
          <w:color w:val="222222"/>
          <w:sz w:val="20"/>
          <w:szCs w:val="20"/>
        </w:rPr>
        <w:t xml:space="preserve"> P</w:t>
      </w:r>
      <w:r w:rsidR="006470B7" w:rsidRPr="00737AB8">
        <w:rPr>
          <w:rFonts w:ascii="Arial" w:eastAsia="Times New Roman" w:hAnsi="Arial" w:cs="Arial"/>
          <w:bCs/>
          <w:color w:val="222222"/>
          <w:sz w:val="20"/>
          <w:szCs w:val="20"/>
        </w:rPr>
        <w:t xml:space="preserve">eterson, </w:t>
      </w:r>
      <w:r w:rsidR="00737AB8">
        <w:rPr>
          <w:rFonts w:ascii="Arial" w:eastAsia="Times New Roman" w:hAnsi="Arial" w:cs="Arial"/>
          <w:bCs/>
          <w:color w:val="222222"/>
          <w:sz w:val="20"/>
          <w:szCs w:val="20"/>
        </w:rPr>
        <w:br/>
      </w:r>
      <w:proofErr w:type="spellStart"/>
      <w:r w:rsidR="006470B7" w:rsidRPr="00737AB8">
        <w:rPr>
          <w:rFonts w:ascii="Arial" w:eastAsia="Times New Roman" w:hAnsi="Arial" w:cs="Arial"/>
          <w:bCs/>
          <w:color w:val="222222"/>
          <w:sz w:val="20"/>
          <w:szCs w:val="20"/>
        </w:rPr>
        <w:t>Keivan</w:t>
      </w:r>
      <w:proofErr w:type="spellEnd"/>
      <w:r w:rsidR="006470B7" w:rsidRPr="00737AB8">
        <w:rPr>
          <w:rFonts w:ascii="Arial" w:eastAsia="Times New Roman" w:hAnsi="Arial" w:cs="Arial"/>
          <w:bCs/>
          <w:color w:val="222222"/>
          <w:sz w:val="20"/>
          <w:szCs w:val="20"/>
        </w:rPr>
        <w:t xml:space="preserve"> G. </w:t>
      </w:r>
      <w:proofErr w:type="spellStart"/>
      <w:r w:rsidR="006470B7" w:rsidRPr="00737AB8">
        <w:rPr>
          <w:rFonts w:ascii="Arial" w:eastAsia="Times New Roman" w:hAnsi="Arial" w:cs="Arial"/>
          <w:bCs/>
          <w:color w:val="222222"/>
          <w:sz w:val="20"/>
          <w:szCs w:val="20"/>
        </w:rPr>
        <w:t>Stassun</w:t>
      </w:r>
      <w:proofErr w:type="spellEnd"/>
      <w:r w:rsidR="00F60D24" w:rsidRPr="00737AB8">
        <w:rPr>
          <w:rFonts w:ascii="Arial" w:eastAsia="Times New Roman" w:hAnsi="Arial" w:cs="Arial"/>
          <w:bCs/>
          <w:color w:val="222222"/>
          <w:sz w:val="20"/>
          <w:szCs w:val="20"/>
        </w:rPr>
        <w:t xml:space="preserve">, Ted von </w:t>
      </w:r>
      <w:proofErr w:type="spellStart"/>
      <w:r w:rsidR="00F60D24" w:rsidRPr="00737AB8">
        <w:rPr>
          <w:rFonts w:ascii="Arial" w:eastAsia="Times New Roman" w:hAnsi="Arial" w:cs="Arial"/>
          <w:bCs/>
          <w:color w:val="222222"/>
          <w:sz w:val="20"/>
          <w:szCs w:val="20"/>
        </w:rPr>
        <w:t>Hippel</w:t>
      </w:r>
      <w:proofErr w:type="spellEnd"/>
    </w:p>
    <w:p w14:paraId="6B05C978" w14:textId="2E38E40E" w:rsidR="00B51E42" w:rsidRDefault="00B51E42" w:rsidP="003921E7">
      <w:pPr>
        <w:shd w:val="clear" w:color="auto" w:fill="FFFFFF"/>
        <w:spacing w:after="240" w:line="240" w:lineRule="auto"/>
        <w:jc w:val="both"/>
        <w:rPr>
          <w:rFonts w:ascii="Arial" w:eastAsia="Times New Roman" w:hAnsi="Arial" w:cs="Arial"/>
          <w:bCs/>
          <w:color w:val="222222"/>
          <w:sz w:val="20"/>
          <w:szCs w:val="20"/>
        </w:rPr>
      </w:pPr>
      <w:r w:rsidRPr="00C72691">
        <w:rPr>
          <w:rFonts w:ascii="Arial" w:eastAsia="Times New Roman" w:hAnsi="Arial" w:cs="Arial"/>
          <w:b/>
          <w:bCs/>
          <w:color w:val="222222"/>
        </w:rPr>
        <w:t>Executive Summary</w:t>
      </w:r>
      <w:r>
        <w:rPr>
          <w:rFonts w:ascii="Arial" w:eastAsia="Times New Roman" w:hAnsi="Arial" w:cs="Arial"/>
          <w:b/>
          <w:bCs/>
          <w:color w:val="222222"/>
        </w:rPr>
        <w:t xml:space="preserve">: </w:t>
      </w:r>
      <w:r w:rsidRPr="00812B60">
        <w:rPr>
          <w:rFonts w:ascii="Arial" w:eastAsia="Times New Roman" w:hAnsi="Arial" w:cs="Arial"/>
          <w:bCs/>
          <w:color w:val="222222"/>
          <w:sz w:val="20"/>
          <w:szCs w:val="20"/>
        </w:rPr>
        <w:t>Over the last decade</w:t>
      </w:r>
      <w:r>
        <w:rPr>
          <w:rFonts w:ascii="Arial" w:eastAsia="Times New Roman" w:hAnsi="Arial" w:cs="Arial"/>
          <w:bCs/>
          <w:color w:val="222222"/>
          <w:sz w:val="20"/>
          <w:szCs w:val="20"/>
        </w:rPr>
        <w:t xml:space="preserve"> </w:t>
      </w:r>
      <w:r w:rsidRPr="00812B60">
        <w:rPr>
          <w:rFonts w:ascii="Arial" w:eastAsia="Times New Roman" w:hAnsi="Arial" w:cs="Arial"/>
          <w:bCs/>
          <w:color w:val="222222"/>
          <w:sz w:val="20"/>
          <w:szCs w:val="20"/>
        </w:rPr>
        <w:t xml:space="preserve">proposal success rates </w:t>
      </w:r>
      <w:r>
        <w:rPr>
          <w:rFonts w:ascii="Arial" w:eastAsia="Times New Roman" w:hAnsi="Arial" w:cs="Arial"/>
          <w:bCs/>
          <w:color w:val="222222"/>
          <w:sz w:val="20"/>
          <w:szCs w:val="20"/>
        </w:rPr>
        <w:t>in</w:t>
      </w:r>
      <w:r w:rsidR="00B70497">
        <w:rPr>
          <w:rFonts w:ascii="Arial" w:eastAsia="Times New Roman" w:hAnsi="Arial" w:cs="Arial"/>
          <w:bCs/>
          <w:color w:val="222222"/>
          <w:sz w:val="20"/>
          <w:szCs w:val="20"/>
        </w:rPr>
        <w:t xml:space="preserve"> the fundamental sciences have </w:t>
      </w:r>
      <w:r w:rsidRPr="00812B60">
        <w:rPr>
          <w:rFonts w:ascii="Arial" w:eastAsia="Times New Roman" w:hAnsi="Arial" w:cs="Arial"/>
          <w:bCs/>
          <w:color w:val="222222"/>
          <w:sz w:val="20"/>
          <w:szCs w:val="20"/>
        </w:rPr>
        <w:t xml:space="preserve">dropped </w:t>
      </w:r>
      <w:r>
        <w:rPr>
          <w:rFonts w:ascii="Arial" w:eastAsia="Times New Roman" w:hAnsi="Arial" w:cs="Arial"/>
          <w:bCs/>
          <w:color w:val="222222"/>
          <w:sz w:val="20"/>
          <w:szCs w:val="20"/>
        </w:rPr>
        <w:t>significantly</w:t>
      </w:r>
      <w:r w:rsidR="00B8269A">
        <w:rPr>
          <w:rFonts w:ascii="Arial" w:eastAsia="Times New Roman" w:hAnsi="Arial" w:cs="Arial"/>
          <w:bCs/>
          <w:color w:val="222222"/>
          <w:sz w:val="20"/>
          <w:szCs w:val="20"/>
        </w:rPr>
        <w:t xml:space="preserve">. Astronomy and related fields </w:t>
      </w:r>
      <w:r w:rsidR="00B70497">
        <w:rPr>
          <w:rFonts w:ascii="Arial" w:eastAsia="Times New Roman" w:hAnsi="Arial" w:cs="Arial"/>
          <w:bCs/>
          <w:color w:val="222222"/>
          <w:sz w:val="20"/>
          <w:szCs w:val="20"/>
        </w:rPr>
        <w:t xml:space="preserve">funded by NASA and NSF </w:t>
      </w:r>
      <w:r w:rsidR="00B8269A">
        <w:rPr>
          <w:rFonts w:ascii="Arial" w:eastAsia="Times New Roman" w:hAnsi="Arial" w:cs="Arial"/>
          <w:bCs/>
          <w:color w:val="222222"/>
          <w:sz w:val="20"/>
          <w:szCs w:val="20"/>
        </w:rPr>
        <w:t>are no exception</w:t>
      </w:r>
      <w:r w:rsidR="00B70497">
        <w:rPr>
          <w:rFonts w:ascii="Arial" w:eastAsia="Times New Roman" w:hAnsi="Arial" w:cs="Arial"/>
          <w:bCs/>
          <w:color w:val="222222"/>
          <w:sz w:val="20"/>
          <w:szCs w:val="20"/>
        </w:rPr>
        <w:t xml:space="preserve">. </w:t>
      </w:r>
      <w:r w:rsidRPr="009165EB">
        <w:rPr>
          <w:rFonts w:ascii="Arial" w:eastAsia="Times New Roman" w:hAnsi="Arial" w:cs="Arial"/>
          <w:bCs/>
          <w:color w:val="222222"/>
          <w:sz w:val="20"/>
          <w:szCs w:val="20"/>
        </w:rPr>
        <w:t>Data acro</w:t>
      </w:r>
      <w:r>
        <w:rPr>
          <w:rFonts w:ascii="Arial" w:eastAsia="Times New Roman" w:hAnsi="Arial" w:cs="Arial"/>
          <w:bCs/>
          <w:color w:val="222222"/>
          <w:sz w:val="20"/>
          <w:szCs w:val="20"/>
        </w:rPr>
        <w:t xml:space="preserve">ss agencies show that this is </w:t>
      </w:r>
      <w:r w:rsidRPr="0083184D">
        <w:rPr>
          <w:rFonts w:ascii="Arial" w:eastAsia="Times New Roman" w:hAnsi="Arial" w:cs="Arial"/>
          <w:bCs/>
          <w:i/>
          <w:color w:val="222222"/>
          <w:sz w:val="20"/>
          <w:szCs w:val="20"/>
        </w:rPr>
        <w:t>not</w:t>
      </w:r>
      <w:r>
        <w:rPr>
          <w:rFonts w:ascii="Arial" w:eastAsia="Times New Roman" w:hAnsi="Arial" w:cs="Arial"/>
          <w:bCs/>
          <w:color w:val="222222"/>
          <w:sz w:val="20"/>
          <w:szCs w:val="20"/>
        </w:rPr>
        <w:t xml:space="preserve"> principally the result of a decline in proposal merit (the proportion of proposals receiving high rankings is largely unchanged), nor of a shift in proposer demographics (seniority, gender, and institutional affiliation have all remained unchanged), nor of an increase (beyond inflation) in the average requested funding per proposal, nor of an increase in the number of proposals per investigator in any one year. Rather, the statistics are consistent with a scenario in which </w:t>
      </w:r>
      <w:r w:rsidR="00304ED7">
        <w:rPr>
          <w:rFonts w:ascii="Arial" w:eastAsia="Times New Roman" w:hAnsi="Arial" w:cs="Arial"/>
          <w:bCs/>
          <w:color w:val="222222"/>
          <w:sz w:val="20"/>
          <w:szCs w:val="20"/>
        </w:rPr>
        <w:t xml:space="preserve">agency budgets for competed research are flat or decreasing in inflation-adjusted dollars, </w:t>
      </w:r>
      <w:r>
        <w:rPr>
          <w:rFonts w:ascii="Arial" w:eastAsia="Times New Roman" w:hAnsi="Arial" w:cs="Arial"/>
          <w:bCs/>
          <w:color w:val="222222"/>
          <w:sz w:val="20"/>
          <w:szCs w:val="20"/>
        </w:rPr>
        <w:t xml:space="preserve">the overall population of investigators has grown, and a larger proportion of these investigators are resubmitting meritorious but unfunded proposals, likely in response to the decreased success rates. Recent research on the time cost of proposal writing versus that of producing publishable results show that a funding rate of ~6% represents the tipping point below which proposal writing prevents more papers than grants produce.  This is close to the </w:t>
      </w:r>
      <w:r w:rsidR="00E970AC">
        <w:rPr>
          <w:rFonts w:ascii="Arial" w:eastAsia="Times New Roman" w:hAnsi="Arial" w:cs="Arial"/>
          <w:bCs/>
          <w:color w:val="222222"/>
          <w:sz w:val="20"/>
          <w:szCs w:val="20"/>
        </w:rPr>
        <w:t xml:space="preserve">success rate experienced by new </w:t>
      </w:r>
      <w:r>
        <w:rPr>
          <w:rFonts w:ascii="Arial" w:eastAsia="Times New Roman" w:hAnsi="Arial" w:cs="Arial"/>
          <w:bCs/>
          <w:color w:val="222222"/>
          <w:sz w:val="20"/>
          <w:szCs w:val="20"/>
        </w:rPr>
        <w:t xml:space="preserve">investigators against an overall average funding rate of 20%, due to rating bias against PIs without </w:t>
      </w:r>
      <w:r w:rsidR="00004503">
        <w:rPr>
          <w:rFonts w:ascii="Arial" w:eastAsia="Times New Roman" w:hAnsi="Arial" w:cs="Arial"/>
          <w:bCs/>
          <w:color w:val="222222"/>
          <w:sz w:val="20"/>
          <w:szCs w:val="20"/>
        </w:rPr>
        <w:t xml:space="preserve">recent </w:t>
      </w:r>
      <w:r>
        <w:rPr>
          <w:rFonts w:ascii="Arial" w:eastAsia="Times New Roman" w:hAnsi="Arial" w:cs="Arial"/>
          <w:bCs/>
          <w:color w:val="222222"/>
          <w:sz w:val="20"/>
          <w:szCs w:val="20"/>
        </w:rPr>
        <w:t xml:space="preserve">funding.  At this 20% average </w:t>
      </w:r>
      <w:r w:rsidR="00D46CDF">
        <w:rPr>
          <w:rFonts w:ascii="Arial" w:eastAsia="Times New Roman" w:hAnsi="Arial" w:cs="Arial"/>
          <w:bCs/>
          <w:color w:val="222222"/>
          <w:sz w:val="20"/>
          <w:szCs w:val="20"/>
        </w:rPr>
        <w:t xml:space="preserve">selection </w:t>
      </w:r>
      <w:r>
        <w:rPr>
          <w:rFonts w:ascii="Arial" w:eastAsia="Times New Roman" w:hAnsi="Arial" w:cs="Arial"/>
          <w:bCs/>
          <w:color w:val="222222"/>
          <w:sz w:val="20"/>
          <w:szCs w:val="20"/>
        </w:rPr>
        <w:t xml:space="preserve">threshold, the opportunity cost is still significant (2-3 papers per successful proposal) even for established researchers.  Unfortunately, </w:t>
      </w:r>
      <w:r w:rsidR="007C6B33">
        <w:rPr>
          <w:rFonts w:ascii="Arial" w:eastAsia="Times New Roman" w:hAnsi="Arial" w:cs="Arial"/>
          <w:bCs/>
          <w:color w:val="222222"/>
          <w:sz w:val="20"/>
          <w:szCs w:val="20"/>
        </w:rPr>
        <w:t>even an</w:t>
      </w:r>
      <w:r>
        <w:rPr>
          <w:rFonts w:ascii="Arial" w:eastAsia="Times New Roman" w:hAnsi="Arial" w:cs="Arial"/>
          <w:bCs/>
          <w:color w:val="222222"/>
          <w:sz w:val="20"/>
          <w:szCs w:val="20"/>
        </w:rPr>
        <w:t xml:space="preserve"> investigator submitting a </w:t>
      </w:r>
      <w:r w:rsidR="007C6B33">
        <w:rPr>
          <w:rFonts w:ascii="Arial" w:eastAsia="Times New Roman" w:hAnsi="Arial" w:cs="Arial"/>
          <w:bCs/>
          <w:color w:val="222222"/>
          <w:sz w:val="20"/>
          <w:szCs w:val="20"/>
        </w:rPr>
        <w:t xml:space="preserve">proposal rated </w:t>
      </w:r>
      <w:r>
        <w:rPr>
          <w:rFonts w:ascii="Arial" w:eastAsia="Times New Roman" w:hAnsi="Arial" w:cs="Arial"/>
          <w:bCs/>
          <w:color w:val="222222"/>
          <w:sz w:val="20"/>
          <w:szCs w:val="20"/>
        </w:rPr>
        <w:t>“very good” can expect</w:t>
      </w:r>
      <w:r w:rsidR="00416E81">
        <w:rPr>
          <w:rFonts w:ascii="Arial" w:eastAsia="Times New Roman" w:hAnsi="Arial" w:cs="Arial"/>
          <w:bCs/>
          <w:color w:val="222222"/>
          <w:sz w:val="20"/>
          <w:szCs w:val="20"/>
        </w:rPr>
        <w:t>, with three attempts,</w:t>
      </w:r>
      <w:r>
        <w:rPr>
          <w:rFonts w:ascii="Arial" w:eastAsia="Times New Roman" w:hAnsi="Arial" w:cs="Arial"/>
          <w:bCs/>
          <w:color w:val="222222"/>
          <w:sz w:val="20"/>
          <w:szCs w:val="20"/>
        </w:rPr>
        <w:t xml:space="preserve"> only a ~5</w:t>
      </w:r>
      <w:r w:rsidR="007C6B33">
        <w:rPr>
          <w:rFonts w:ascii="Arial" w:eastAsia="Times New Roman" w:hAnsi="Arial" w:cs="Arial"/>
          <w:bCs/>
          <w:color w:val="222222"/>
          <w:sz w:val="20"/>
          <w:szCs w:val="20"/>
        </w:rPr>
        <w:t>8</w:t>
      </w:r>
      <w:r>
        <w:rPr>
          <w:rFonts w:ascii="Arial" w:eastAsia="Times New Roman" w:hAnsi="Arial" w:cs="Arial"/>
          <w:bCs/>
          <w:color w:val="222222"/>
          <w:sz w:val="20"/>
          <w:szCs w:val="20"/>
        </w:rPr>
        <w:t>% chance of fundin</w:t>
      </w:r>
      <w:r w:rsidR="00416E81">
        <w:rPr>
          <w:rFonts w:ascii="Arial" w:eastAsia="Times New Roman" w:hAnsi="Arial" w:cs="Arial"/>
          <w:bCs/>
          <w:color w:val="222222"/>
          <w:sz w:val="20"/>
          <w:szCs w:val="20"/>
        </w:rPr>
        <w:t>g</w:t>
      </w:r>
      <w:r>
        <w:rPr>
          <w:rFonts w:ascii="Arial" w:eastAsia="Times New Roman" w:hAnsi="Arial" w:cs="Arial"/>
          <w:bCs/>
          <w:color w:val="222222"/>
          <w:sz w:val="20"/>
          <w:szCs w:val="20"/>
        </w:rPr>
        <w:t xml:space="preserve">.  A 20% </w:t>
      </w:r>
      <w:r w:rsidR="00B8269A">
        <w:rPr>
          <w:rFonts w:ascii="Arial" w:eastAsia="Times New Roman" w:hAnsi="Arial" w:cs="Arial"/>
          <w:bCs/>
          <w:color w:val="222222"/>
          <w:sz w:val="20"/>
          <w:szCs w:val="20"/>
        </w:rPr>
        <w:t xml:space="preserve">overall </w:t>
      </w:r>
      <w:r>
        <w:rPr>
          <w:rFonts w:ascii="Arial" w:eastAsia="Times New Roman" w:hAnsi="Arial" w:cs="Arial"/>
          <w:bCs/>
          <w:color w:val="222222"/>
          <w:sz w:val="20"/>
          <w:szCs w:val="20"/>
        </w:rPr>
        <w:t xml:space="preserve">funding rate is thus </w:t>
      </w:r>
      <w:r w:rsidR="00670FDC">
        <w:rPr>
          <w:rFonts w:ascii="Arial" w:eastAsia="Times New Roman" w:hAnsi="Arial" w:cs="Arial"/>
          <w:bCs/>
          <w:color w:val="222222"/>
          <w:sz w:val="20"/>
          <w:szCs w:val="20"/>
        </w:rPr>
        <w:t>unhealthy for the field</w:t>
      </w:r>
      <w:r>
        <w:rPr>
          <w:rFonts w:ascii="Arial" w:eastAsia="Times New Roman" w:hAnsi="Arial" w:cs="Arial"/>
          <w:bCs/>
          <w:color w:val="222222"/>
          <w:sz w:val="20"/>
          <w:szCs w:val="20"/>
        </w:rPr>
        <w:t>, since it precludes stable</w:t>
      </w:r>
      <w:r w:rsidR="00B8269A">
        <w:rPr>
          <w:rFonts w:ascii="Arial" w:eastAsia="Times New Roman" w:hAnsi="Arial" w:cs="Arial"/>
          <w:bCs/>
          <w:color w:val="222222"/>
          <w:sz w:val="20"/>
          <w:szCs w:val="20"/>
        </w:rPr>
        <w:t>, long-term</w:t>
      </w:r>
      <w:r>
        <w:rPr>
          <w:rFonts w:ascii="Arial" w:eastAsia="Times New Roman" w:hAnsi="Arial" w:cs="Arial"/>
          <w:bCs/>
          <w:color w:val="222222"/>
          <w:sz w:val="20"/>
          <w:szCs w:val="20"/>
        </w:rPr>
        <w:t xml:space="preserve"> support for students, postdocs, or researchers on soft money, </w:t>
      </w:r>
      <w:r w:rsidRPr="00CB199A">
        <w:rPr>
          <w:rFonts w:ascii="Arial" w:eastAsia="Times New Roman" w:hAnsi="Arial" w:cs="Arial"/>
          <w:bCs/>
          <w:color w:val="222222"/>
          <w:sz w:val="20"/>
          <w:szCs w:val="20"/>
        </w:rPr>
        <w:t xml:space="preserve">and it </w:t>
      </w:r>
      <w:r>
        <w:rPr>
          <w:rFonts w:ascii="Arial" w:eastAsia="Times New Roman" w:hAnsi="Arial" w:cs="Arial"/>
          <w:bCs/>
          <w:color w:val="222222"/>
          <w:sz w:val="20"/>
          <w:szCs w:val="20"/>
        </w:rPr>
        <w:t xml:space="preserve">preferentially discourages young researchers from remaining in the field.  Yet, as demonstrated below, we are currently in exactly this situation. We conclude that an aspirational proposal success rate of 30-35% would </w:t>
      </w:r>
      <w:r w:rsidR="000323DF">
        <w:rPr>
          <w:rFonts w:ascii="Arial" w:eastAsia="Times New Roman" w:hAnsi="Arial" w:cs="Arial"/>
          <w:bCs/>
          <w:color w:val="222222"/>
          <w:sz w:val="20"/>
          <w:szCs w:val="20"/>
        </w:rPr>
        <w:t xml:space="preserve">still </w:t>
      </w:r>
      <w:r>
        <w:rPr>
          <w:rFonts w:ascii="Arial" w:eastAsia="Times New Roman" w:hAnsi="Arial" w:cs="Arial"/>
          <w:bCs/>
          <w:color w:val="222222"/>
          <w:sz w:val="20"/>
          <w:szCs w:val="20"/>
        </w:rPr>
        <w:t>provide</w:t>
      </w:r>
      <w:r w:rsidR="000323DF">
        <w:rPr>
          <w:rFonts w:ascii="Arial" w:eastAsia="Times New Roman" w:hAnsi="Arial" w:cs="Arial"/>
          <w:bCs/>
          <w:color w:val="222222"/>
          <w:sz w:val="20"/>
          <w:szCs w:val="20"/>
        </w:rPr>
        <w:t xml:space="preserve"> </w:t>
      </w:r>
      <w:r w:rsidR="000323DF">
        <w:rPr>
          <w:rFonts w:ascii="Arial" w:eastAsia="Times New Roman" w:hAnsi="Arial" w:cs="Arial"/>
          <w:sz w:val="20"/>
          <w:szCs w:val="20"/>
        </w:rPr>
        <w:t xml:space="preserve">a healthily competitive environment for researchers, </w:t>
      </w:r>
      <w:r w:rsidR="00335770" w:rsidRPr="00335770">
        <w:rPr>
          <w:rFonts w:ascii="Arial" w:eastAsia="Times New Roman" w:hAnsi="Arial" w:cs="Arial"/>
          <w:sz w:val="20"/>
          <w:szCs w:val="20"/>
        </w:rPr>
        <w:t>would more fully utilize the scientific capacity of the community's facilities and missions</w:t>
      </w:r>
      <w:r w:rsidR="002A2550">
        <w:rPr>
          <w:rFonts w:ascii="Arial" w:eastAsia="Times New Roman" w:hAnsi="Arial" w:cs="Arial"/>
          <w:sz w:val="20"/>
          <w:szCs w:val="20"/>
        </w:rPr>
        <w:t xml:space="preserve">, </w:t>
      </w:r>
      <w:r w:rsidR="000323DF">
        <w:rPr>
          <w:rFonts w:ascii="Arial" w:eastAsia="Times New Roman" w:hAnsi="Arial" w:cs="Arial"/>
          <w:sz w:val="20"/>
          <w:szCs w:val="20"/>
        </w:rPr>
        <w:t xml:space="preserve">and provide </w:t>
      </w:r>
      <w:r>
        <w:rPr>
          <w:rFonts w:ascii="Arial" w:eastAsia="Times New Roman" w:hAnsi="Arial" w:cs="Arial"/>
          <w:bCs/>
          <w:color w:val="222222"/>
          <w:sz w:val="20"/>
          <w:szCs w:val="20"/>
        </w:rPr>
        <w:t xml:space="preserve">relief </w:t>
      </w:r>
      <w:r w:rsidR="000323DF">
        <w:rPr>
          <w:rFonts w:ascii="Arial" w:eastAsia="Times New Roman" w:hAnsi="Arial" w:cs="Arial"/>
          <w:bCs/>
          <w:color w:val="222222"/>
          <w:sz w:val="20"/>
          <w:szCs w:val="20"/>
        </w:rPr>
        <w:t xml:space="preserve">to </w:t>
      </w:r>
      <w:r>
        <w:rPr>
          <w:rFonts w:ascii="Arial" w:eastAsia="Times New Roman" w:hAnsi="Arial" w:cs="Arial"/>
          <w:bCs/>
          <w:color w:val="222222"/>
          <w:sz w:val="20"/>
          <w:szCs w:val="20"/>
        </w:rPr>
        <w:t>the funding agencies who face the logistics of alarming volumes of proposals.</w:t>
      </w:r>
    </w:p>
    <w:p w14:paraId="51DAECA6" w14:textId="6EA2E8FF" w:rsidR="00B51E42" w:rsidRPr="00E57FA2" w:rsidRDefault="006470B7" w:rsidP="003921E7">
      <w:pPr>
        <w:shd w:val="clear" w:color="auto" w:fill="FFFFFF"/>
        <w:spacing w:after="240" w:line="240" w:lineRule="auto"/>
        <w:jc w:val="both"/>
        <w:rPr>
          <w:rFonts w:ascii="Arial" w:eastAsia="Times New Roman" w:hAnsi="Arial" w:cs="Arial"/>
          <w:b/>
          <w:bCs/>
          <w:color w:val="222222"/>
        </w:rPr>
      </w:pPr>
      <w:r>
        <w:rPr>
          <w:rFonts w:ascii="Arial" w:eastAsia="Times New Roman" w:hAnsi="Arial" w:cs="Arial"/>
          <w:b/>
          <w:bCs/>
          <w:color w:val="222222"/>
        </w:rPr>
        <w:t>1.</w:t>
      </w:r>
      <w:r w:rsidRPr="00B948ED">
        <w:rPr>
          <w:rFonts w:ascii="Arial" w:eastAsia="Times New Roman" w:hAnsi="Arial" w:cs="Arial"/>
          <w:b/>
          <w:bCs/>
          <w:color w:val="222222"/>
          <w:u w:val="single"/>
        </w:rPr>
        <w:t xml:space="preserve"> </w:t>
      </w:r>
      <w:r w:rsidR="00B51E42" w:rsidRPr="00B948ED">
        <w:rPr>
          <w:rFonts w:ascii="Arial" w:eastAsia="Times New Roman" w:hAnsi="Arial" w:cs="Arial"/>
          <w:b/>
          <w:bCs/>
          <w:color w:val="222222"/>
          <w:u w:val="single"/>
        </w:rPr>
        <w:t>Introduction</w:t>
      </w:r>
    </w:p>
    <w:p w14:paraId="4F748E1E" w14:textId="1085501E" w:rsidR="00801016" w:rsidRDefault="00FE060C" w:rsidP="003921E7">
      <w:pPr>
        <w:shd w:val="clear" w:color="auto" w:fill="FFFFFF"/>
        <w:spacing w:after="240" w:line="240" w:lineRule="auto"/>
        <w:jc w:val="both"/>
        <w:rPr>
          <w:rFonts w:ascii="Arial" w:eastAsia="Times New Roman" w:hAnsi="Arial" w:cs="Arial"/>
          <w:bCs/>
          <w:color w:val="222222"/>
          <w:sz w:val="20"/>
          <w:szCs w:val="20"/>
        </w:rPr>
      </w:pPr>
      <w:r>
        <w:rPr>
          <w:rFonts w:ascii="Arial" w:eastAsia="Times New Roman" w:hAnsi="Arial" w:cs="Arial"/>
          <w:bCs/>
          <w:color w:val="222222"/>
          <w:sz w:val="20"/>
          <w:szCs w:val="20"/>
        </w:rPr>
        <w:t xml:space="preserve">Recent years have witnessed a </w:t>
      </w:r>
      <w:r w:rsidR="00304ED7">
        <w:rPr>
          <w:rFonts w:ascii="Arial" w:eastAsia="Times New Roman" w:hAnsi="Arial" w:cs="Arial"/>
          <w:bCs/>
          <w:color w:val="222222"/>
          <w:sz w:val="20"/>
          <w:szCs w:val="20"/>
        </w:rPr>
        <w:t xml:space="preserve">significant </w:t>
      </w:r>
      <w:r>
        <w:rPr>
          <w:rFonts w:ascii="Arial" w:eastAsia="Times New Roman" w:hAnsi="Arial" w:cs="Arial"/>
          <w:bCs/>
          <w:color w:val="222222"/>
          <w:sz w:val="20"/>
          <w:szCs w:val="20"/>
        </w:rPr>
        <w:t xml:space="preserve">decline in the </w:t>
      </w:r>
      <w:r w:rsidR="0071190B">
        <w:rPr>
          <w:rFonts w:ascii="Arial" w:eastAsia="Times New Roman" w:hAnsi="Arial" w:cs="Arial"/>
          <w:bCs/>
          <w:color w:val="222222"/>
          <w:sz w:val="20"/>
          <w:szCs w:val="20"/>
        </w:rPr>
        <w:t xml:space="preserve">fraction of </w:t>
      </w:r>
      <w:r w:rsidR="00F54490">
        <w:rPr>
          <w:rFonts w:ascii="Arial" w:eastAsia="Times New Roman" w:hAnsi="Arial" w:cs="Arial"/>
          <w:bCs/>
          <w:color w:val="222222"/>
          <w:sz w:val="20"/>
          <w:szCs w:val="20"/>
        </w:rPr>
        <w:t xml:space="preserve">successful </w:t>
      </w:r>
      <w:r w:rsidR="0071190B">
        <w:rPr>
          <w:rFonts w:ascii="Arial" w:eastAsia="Times New Roman" w:hAnsi="Arial" w:cs="Arial"/>
          <w:bCs/>
          <w:color w:val="222222"/>
          <w:sz w:val="20"/>
          <w:szCs w:val="20"/>
        </w:rPr>
        <w:t>p</w:t>
      </w:r>
      <w:r>
        <w:rPr>
          <w:rFonts w:ascii="Arial" w:eastAsia="Times New Roman" w:hAnsi="Arial" w:cs="Arial"/>
          <w:bCs/>
          <w:color w:val="222222"/>
          <w:sz w:val="20"/>
          <w:szCs w:val="20"/>
        </w:rPr>
        <w:t xml:space="preserve">roposals for basic research </w:t>
      </w:r>
      <w:r w:rsidR="001E5FFC">
        <w:rPr>
          <w:rFonts w:ascii="Arial" w:eastAsia="Times New Roman" w:hAnsi="Arial" w:cs="Arial"/>
          <w:bCs/>
          <w:color w:val="222222"/>
          <w:sz w:val="20"/>
          <w:szCs w:val="20"/>
        </w:rPr>
        <w:t xml:space="preserve">in </w:t>
      </w:r>
      <w:r w:rsidR="006A3866">
        <w:rPr>
          <w:rFonts w:ascii="Arial" w:eastAsia="Times New Roman" w:hAnsi="Arial" w:cs="Arial"/>
          <w:bCs/>
          <w:color w:val="222222"/>
          <w:sz w:val="20"/>
          <w:szCs w:val="20"/>
        </w:rPr>
        <w:t>s</w:t>
      </w:r>
      <w:r w:rsidR="001E5FFC">
        <w:rPr>
          <w:rFonts w:ascii="Arial" w:eastAsia="Times New Roman" w:hAnsi="Arial" w:cs="Arial"/>
          <w:bCs/>
          <w:color w:val="222222"/>
          <w:sz w:val="20"/>
          <w:szCs w:val="20"/>
        </w:rPr>
        <w:t xml:space="preserve">cience, engineering, and </w:t>
      </w:r>
      <w:r w:rsidR="00153566">
        <w:rPr>
          <w:rFonts w:ascii="Arial" w:eastAsia="Times New Roman" w:hAnsi="Arial" w:cs="Arial"/>
          <w:bCs/>
          <w:color w:val="222222"/>
          <w:sz w:val="20"/>
          <w:szCs w:val="20"/>
        </w:rPr>
        <w:t xml:space="preserve">the </w:t>
      </w:r>
      <w:r w:rsidR="001E5FFC">
        <w:rPr>
          <w:rFonts w:ascii="Arial" w:eastAsia="Times New Roman" w:hAnsi="Arial" w:cs="Arial"/>
          <w:bCs/>
          <w:color w:val="222222"/>
          <w:sz w:val="20"/>
          <w:szCs w:val="20"/>
        </w:rPr>
        <w:t>health disciplines</w:t>
      </w:r>
      <w:r w:rsidR="00E970AC">
        <w:rPr>
          <w:rFonts w:ascii="Arial" w:eastAsia="Times New Roman" w:hAnsi="Arial" w:cs="Arial"/>
          <w:bCs/>
          <w:color w:val="222222"/>
          <w:sz w:val="20"/>
          <w:szCs w:val="20"/>
        </w:rPr>
        <w:t>. In this study, which covers astronomy and astrophysics, the</w:t>
      </w:r>
      <w:r w:rsidR="00F54490">
        <w:rPr>
          <w:rFonts w:ascii="Arial" w:eastAsia="Times New Roman" w:hAnsi="Arial" w:cs="Arial"/>
          <w:bCs/>
          <w:color w:val="222222"/>
          <w:sz w:val="20"/>
          <w:szCs w:val="20"/>
        </w:rPr>
        <w:t xml:space="preserve"> trend </w:t>
      </w:r>
      <w:r w:rsidR="009D39BC">
        <w:rPr>
          <w:rFonts w:ascii="Arial" w:eastAsia="Times New Roman" w:hAnsi="Arial" w:cs="Arial"/>
          <w:bCs/>
          <w:color w:val="222222"/>
          <w:sz w:val="20"/>
          <w:szCs w:val="20"/>
        </w:rPr>
        <w:t xml:space="preserve">can be </w:t>
      </w:r>
      <w:r w:rsidR="00F54490">
        <w:rPr>
          <w:rFonts w:ascii="Arial" w:eastAsia="Times New Roman" w:hAnsi="Arial" w:cs="Arial"/>
          <w:bCs/>
          <w:color w:val="222222"/>
          <w:sz w:val="20"/>
          <w:szCs w:val="20"/>
        </w:rPr>
        <w:t xml:space="preserve">attributed to </w:t>
      </w:r>
      <w:r w:rsidR="00362545">
        <w:rPr>
          <w:rFonts w:ascii="Arial" w:eastAsia="Times New Roman" w:hAnsi="Arial" w:cs="Arial"/>
          <w:bCs/>
          <w:color w:val="222222"/>
          <w:sz w:val="20"/>
          <w:szCs w:val="20"/>
        </w:rPr>
        <w:t xml:space="preserve">an increasing number of proposals </w:t>
      </w:r>
      <w:r w:rsidR="009D39BC">
        <w:rPr>
          <w:rFonts w:ascii="Arial" w:eastAsia="Times New Roman" w:hAnsi="Arial" w:cs="Arial"/>
          <w:bCs/>
          <w:color w:val="222222"/>
          <w:sz w:val="20"/>
          <w:szCs w:val="20"/>
        </w:rPr>
        <w:t xml:space="preserve">submitted </w:t>
      </w:r>
      <w:r w:rsidR="00362545">
        <w:rPr>
          <w:rFonts w:ascii="Arial" w:eastAsia="Times New Roman" w:hAnsi="Arial" w:cs="Arial"/>
          <w:bCs/>
          <w:color w:val="222222"/>
          <w:sz w:val="20"/>
          <w:szCs w:val="20"/>
        </w:rPr>
        <w:t>per funding opportunity</w:t>
      </w:r>
      <w:r w:rsidR="00650D97">
        <w:rPr>
          <w:rFonts w:ascii="Arial" w:eastAsia="Times New Roman" w:hAnsi="Arial" w:cs="Arial"/>
          <w:bCs/>
          <w:color w:val="222222"/>
          <w:sz w:val="20"/>
          <w:szCs w:val="20"/>
        </w:rPr>
        <w:t>,</w:t>
      </w:r>
      <w:r w:rsidR="00362545">
        <w:rPr>
          <w:rFonts w:ascii="Arial" w:eastAsia="Times New Roman" w:hAnsi="Arial" w:cs="Arial"/>
          <w:bCs/>
          <w:color w:val="222222"/>
          <w:sz w:val="20"/>
          <w:szCs w:val="20"/>
        </w:rPr>
        <w:t xml:space="preserve"> while the agency budgets are flat or declining in </w:t>
      </w:r>
      <w:r w:rsidR="002346BB">
        <w:rPr>
          <w:rFonts w:ascii="Arial" w:eastAsia="Times New Roman" w:hAnsi="Arial" w:cs="Arial"/>
          <w:bCs/>
          <w:color w:val="222222"/>
          <w:sz w:val="20"/>
          <w:szCs w:val="20"/>
        </w:rPr>
        <w:t>inflation-adjusted</w:t>
      </w:r>
      <w:r w:rsidR="00362545">
        <w:rPr>
          <w:rFonts w:ascii="Arial" w:eastAsia="Times New Roman" w:hAnsi="Arial" w:cs="Arial"/>
          <w:bCs/>
          <w:color w:val="222222"/>
          <w:sz w:val="20"/>
          <w:szCs w:val="20"/>
        </w:rPr>
        <w:t xml:space="preserve"> dollars</w:t>
      </w:r>
      <w:r w:rsidR="00650D97">
        <w:rPr>
          <w:rFonts w:ascii="Arial" w:eastAsia="Times New Roman" w:hAnsi="Arial" w:cs="Arial"/>
          <w:bCs/>
          <w:color w:val="222222"/>
          <w:sz w:val="20"/>
          <w:szCs w:val="20"/>
        </w:rPr>
        <w:t xml:space="preserve">. </w:t>
      </w:r>
      <w:r w:rsidR="006A2E56">
        <w:rPr>
          <w:rFonts w:ascii="Arial" w:eastAsia="Times New Roman" w:hAnsi="Arial" w:cs="Arial"/>
          <w:bCs/>
          <w:color w:val="222222"/>
          <w:sz w:val="20"/>
          <w:szCs w:val="20"/>
        </w:rPr>
        <w:t>W</w:t>
      </w:r>
      <w:r>
        <w:rPr>
          <w:rFonts w:ascii="Arial" w:eastAsia="Times New Roman" w:hAnsi="Arial" w:cs="Arial"/>
          <w:bCs/>
          <w:color w:val="222222"/>
          <w:sz w:val="20"/>
          <w:szCs w:val="20"/>
        </w:rPr>
        <w:t>hile this basic trend is incontrovertible, the fundamental cause(s) and</w:t>
      </w:r>
      <w:r w:rsidR="00F54490">
        <w:rPr>
          <w:rFonts w:ascii="Arial" w:eastAsia="Times New Roman" w:hAnsi="Arial" w:cs="Arial"/>
          <w:bCs/>
          <w:color w:val="222222"/>
          <w:sz w:val="20"/>
          <w:szCs w:val="20"/>
        </w:rPr>
        <w:t>,</w:t>
      </w:r>
      <w:r>
        <w:rPr>
          <w:rFonts w:ascii="Arial" w:eastAsia="Times New Roman" w:hAnsi="Arial" w:cs="Arial"/>
          <w:bCs/>
          <w:color w:val="222222"/>
          <w:sz w:val="20"/>
          <w:szCs w:val="20"/>
        </w:rPr>
        <w:t xml:space="preserve"> therefore</w:t>
      </w:r>
      <w:r w:rsidR="00F54490">
        <w:rPr>
          <w:rFonts w:ascii="Arial" w:eastAsia="Times New Roman" w:hAnsi="Arial" w:cs="Arial"/>
          <w:bCs/>
          <w:color w:val="222222"/>
          <w:sz w:val="20"/>
          <w:szCs w:val="20"/>
        </w:rPr>
        <w:t>,</w:t>
      </w:r>
      <w:r>
        <w:rPr>
          <w:rFonts w:ascii="Arial" w:eastAsia="Times New Roman" w:hAnsi="Arial" w:cs="Arial"/>
          <w:bCs/>
          <w:color w:val="222222"/>
          <w:sz w:val="20"/>
          <w:szCs w:val="20"/>
        </w:rPr>
        <w:t xml:space="preserve"> the appropriate response(s) </w:t>
      </w:r>
      <w:r w:rsidR="00A1204D">
        <w:rPr>
          <w:rFonts w:ascii="Arial" w:eastAsia="Times New Roman" w:hAnsi="Arial" w:cs="Arial"/>
          <w:bCs/>
          <w:color w:val="222222"/>
          <w:sz w:val="20"/>
          <w:szCs w:val="20"/>
        </w:rPr>
        <w:t xml:space="preserve">have been </w:t>
      </w:r>
      <w:r>
        <w:rPr>
          <w:rFonts w:ascii="Arial" w:eastAsia="Times New Roman" w:hAnsi="Arial" w:cs="Arial"/>
          <w:bCs/>
          <w:color w:val="222222"/>
          <w:sz w:val="20"/>
          <w:szCs w:val="20"/>
        </w:rPr>
        <w:t xml:space="preserve">less clear. </w:t>
      </w:r>
      <w:r w:rsidR="006A2E56">
        <w:rPr>
          <w:rFonts w:ascii="Arial" w:eastAsia="Times New Roman" w:hAnsi="Arial" w:cs="Arial"/>
          <w:bCs/>
          <w:color w:val="222222"/>
          <w:sz w:val="20"/>
          <w:szCs w:val="20"/>
        </w:rPr>
        <w:t>The goal</w:t>
      </w:r>
      <w:r w:rsidR="00F54490">
        <w:rPr>
          <w:rFonts w:ascii="Arial" w:eastAsia="Times New Roman" w:hAnsi="Arial" w:cs="Arial"/>
          <w:bCs/>
          <w:color w:val="222222"/>
          <w:sz w:val="20"/>
          <w:szCs w:val="20"/>
        </w:rPr>
        <w:t xml:space="preserve"> should </w:t>
      </w:r>
      <w:r w:rsidR="006A2E56">
        <w:rPr>
          <w:rFonts w:ascii="Arial" w:eastAsia="Times New Roman" w:hAnsi="Arial" w:cs="Arial"/>
          <w:bCs/>
          <w:color w:val="222222"/>
          <w:sz w:val="20"/>
          <w:szCs w:val="20"/>
        </w:rPr>
        <w:t xml:space="preserve">be to </w:t>
      </w:r>
      <w:r w:rsidR="00304ED7">
        <w:rPr>
          <w:rFonts w:ascii="Arial" w:eastAsia="Times New Roman" w:hAnsi="Arial" w:cs="Arial"/>
          <w:bCs/>
          <w:color w:val="222222"/>
          <w:sz w:val="20"/>
          <w:szCs w:val="20"/>
        </w:rPr>
        <w:t xml:space="preserve">sustain the U.S. </w:t>
      </w:r>
      <w:r w:rsidR="00FB659D">
        <w:rPr>
          <w:rFonts w:ascii="Arial" w:eastAsia="Times New Roman" w:hAnsi="Arial" w:cs="Arial"/>
          <w:bCs/>
          <w:color w:val="222222"/>
          <w:sz w:val="20"/>
          <w:szCs w:val="20"/>
        </w:rPr>
        <w:t xml:space="preserve">astronomical </w:t>
      </w:r>
      <w:r w:rsidR="00304ED7">
        <w:rPr>
          <w:rFonts w:ascii="Arial" w:eastAsia="Times New Roman" w:hAnsi="Arial" w:cs="Arial"/>
          <w:bCs/>
          <w:color w:val="222222"/>
          <w:sz w:val="20"/>
          <w:szCs w:val="20"/>
        </w:rPr>
        <w:t xml:space="preserve">research program at an </w:t>
      </w:r>
      <w:r w:rsidR="00A31447">
        <w:rPr>
          <w:rFonts w:ascii="Arial" w:eastAsia="Times New Roman" w:hAnsi="Arial" w:cs="Arial"/>
          <w:bCs/>
          <w:color w:val="222222"/>
          <w:sz w:val="20"/>
          <w:szCs w:val="20"/>
        </w:rPr>
        <w:t xml:space="preserve">acceptable </w:t>
      </w:r>
      <w:r w:rsidR="00FB659D">
        <w:rPr>
          <w:rFonts w:ascii="Arial" w:eastAsia="Times New Roman" w:hAnsi="Arial" w:cs="Arial"/>
          <w:bCs/>
          <w:color w:val="222222"/>
          <w:sz w:val="20"/>
          <w:szCs w:val="20"/>
        </w:rPr>
        <w:t>and stable</w:t>
      </w:r>
      <w:r w:rsidR="00304ED7">
        <w:rPr>
          <w:rFonts w:ascii="Arial" w:eastAsia="Times New Roman" w:hAnsi="Arial" w:cs="Arial"/>
          <w:bCs/>
          <w:color w:val="222222"/>
          <w:sz w:val="20"/>
          <w:szCs w:val="20"/>
        </w:rPr>
        <w:t xml:space="preserve"> level</w:t>
      </w:r>
      <w:r w:rsidR="00153566">
        <w:rPr>
          <w:rFonts w:ascii="Arial" w:eastAsia="Times New Roman" w:hAnsi="Arial" w:cs="Arial"/>
          <w:bCs/>
          <w:color w:val="222222"/>
          <w:sz w:val="20"/>
          <w:szCs w:val="20"/>
        </w:rPr>
        <w:t>,</w:t>
      </w:r>
      <w:r w:rsidR="00304ED7">
        <w:rPr>
          <w:rFonts w:ascii="Arial" w:eastAsia="Times New Roman" w:hAnsi="Arial" w:cs="Arial"/>
          <w:bCs/>
          <w:color w:val="222222"/>
          <w:sz w:val="20"/>
          <w:szCs w:val="20"/>
        </w:rPr>
        <w:t xml:space="preserve"> </w:t>
      </w:r>
      <w:r w:rsidR="00153566">
        <w:rPr>
          <w:rFonts w:ascii="Arial" w:eastAsia="Times New Roman" w:hAnsi="Arial" w:cs="Arial"/>
          <w:bCs/>
          <w:color w:val="222222"/>
          <w:sz w:val="20"/>
          <w:szCs w:val="20"/>
        </w:rPr>
        <w:t xml:space="preserve">with an </w:t>
      </w:r>
      <w:r w:rsidR="00D40639" w:rsidRPr="003921E7">
        <w:rPr>
          <w:rFonts w:ascii="Arial" w:eastAsia="Times New Roman" w:hAnsi="Arial" w:cs="Arial"/>
          <w:bCs/>
          <w:color w:val="222222"/>
          <w:sz w:val="20"/>
          <w:szCs w:val="20"/>
        </w:rPr>
        <w:t>appropriate</w:t>
      </w:r>
      <w:r w:rsidR="00506B53">
        <w:rPr>
          <w:rFonts w:ascii="Arial" w:eastAsia="Times New Roman" w:hAnsi="Arial" w:cs="Arial"/>
          <w:bCs/>
          <w:color w:val="222222"/>
          <w:sz w:val="20"/>
          <w:szCs w:val="20"/>
        </w:rPr>
        <w:t>ly</w:t>
      </w:r>
      <w:r w:rsidR="00D40639" w:rsidRPr="003921E7">
        <w:rPr>
          <w:rFonts w:ascii="Arial" w:eastAsia="Times New Roman" w:hAnsi="Arial" w:cs="Arial"/>
          <w:bCs/>
          <w:color w:val="222222"/>
          <w:sz w:val="20"/>
          <w:szCs w:val="20"/>
        </w:rPr>
        <w:t xml:space="preserve"> competitive funding environment</w:t>
      </w:r>
      <w:r w:rsidR="00A31447">
        <w:rPr>
          <w:rFonts w:ascii="Arial" w:eastAsia="Times New Roman" w:hAnsi="Arial" w:cs="Arial"/>
          <w:bCs/>
          <w:color w:val="222222"/>
          <w:sz w:val="20"/>
          <w:szCs w:val="20"/>
        </w:rPr>
        <w:t>,</w:t>
      </w:r>
      <w:r w:rsidR="002E6612">
        <w:rPr>
          <w:rFonts w:ascii="Arial" w:eastAsia="Times New Roman" w:hAnsi="Arial" w:cs="Arial"/>
          <w:bCs/>
          <w:color w:val="222222"/>
          <w:sz w:val="20"/>
          <w:szCs w:val="20"/>
        </w:rPr>
        <w:t xml:space="preserve"> while maintaining the highest productivity and quality level </w:t>
      </w:r>
      <w:r w:rsidR="00153566">
        <w:rPr>
          <w:rFonts w:ascii="Arial" w:eastAsia="Times New Roman" w:hAnsi="Arial" w:cs="Arial"/>
          <w:bCs/>
          <w:color w:val="222222"/>
          <w:sz w:val="20"/>
          <w:szCs w:val="20"/>
        </w:rPr>
        <w:t xml:space="preserve">commensurate with </w:t>
      </w:r>
      <w:r w:rsidR="002E6612">
        <w:rPr>
          <w:rFonts w:ascii="Arial" w:eastAsia="Times New Roman" w:hAnsi="Arial" w:cs="Arial"/>
          <w:bCs/>
          <w:color w:val="222222"/>
          <w:sz w:val="20"/>
          <w:szCs w:val="20"/>
        </w:rPr>
        <w:t>US leadership</w:t>
      </w:r>
      <w:r w:rsidR="00A31447">
        <w:rPr>
          <w:rFonts w:ascii="Arial" w:eastAsia="Times New Roman" w:hAnsi="Arial" w:cs="Arial"/>
          <w:bCs/>
          <w:color w:val="222222"/>
          <w:sz w:val="20"/>
          <w:szCs w:val="20"/>
        </w:rPr>
        <w:t xml:space="preserve">. </w:t>
      </w:r>
      <w:r w:rsidR="00506B53">
        <w:rPr>
          <w:rFonts w:ascii="Arial" w:eastAsia="Times New Roman" w:hAnsi="Arial" w:cs="Arial"/>
          <w:bCs/>
          <w:color w:val="222222"/>
          <w:sz w:val="20"/>
          <w:szCs w:val="20"/>
        </w:rPr>
        <w:t xml:space="preserve"> </w:t>
      </w:r>
      <w:r w:rsidR="004F0F89">
        <w:rPr>
          <w:rFonts w:ascii="Arial" w:eastAsia="Times New Roman" w:hAnsi="Arial" w:cs="Arial"/>
          <w:bCs/>
          <w:color w:val="222222"/>
          <w:sz w:val="20"/>
          <w:szCs w:val="20"/>
        </w:rPr>
        <w:t>P</w:t>
      </w:r>
      <w:r w:rsidR="00D40639" w:rsidRPr="003921E7">
        <w:rPr>
          <w:rFonts w:ascii="Arial" w:eastAsia="Times New Roman" w:hAnsi="Arial" w:cs="Arial"/>
          <w:bCs/>
          <w:color w:val="222222"/>
          <w:sz w:val="20"/>
          <w:szCs w:val="20"/>
        </w:rPr>
        <w:t xml:space="preserve">roposal writing </w:t>
      </w:r>
      <w:r w:rsidR="004F0F89">
        <w:rPr>
          <w:rFonts w:ascii="Arial" w:eastAsia="Times New Roman" w:hAnsi="Arial" w:cs="Arial"/>
          <w:bCs/>
          <w:color w:val="222222"/>
          <w:sz w:val="20"/>
          <w:szCs w:val="20"/>
        </w:rPr>
        <w:t xml:space="preserve">should not </w:t>
      </w:r>
      <w:r w:rsidR="009A3146" w:rsidRPr="003921E7">
        <w:rPr>
          <w:rFonts w:ascii="Arial" w:eastAsia="Times New Roman" w:hAnsi="Arial" w:cs="Arial"/>
          <w:bCs/>
          <w:color w:val="222222"/>
          <w:sz w:val="20"/>
          <w:szCs w:val="20"/>
        </w:rPr>
        <w:t>prevent more science from being done than the sought-after funding</w:t>
      </w:r>
      <w:r w:rsidR="0071190B">
        <w:rPr>
          <w:rFonts w:ascii="Arial" w:eastAsia="Times New Roman" w:hAnsi="Arial" w:cs="Arial"/>
          <w:bCs/>
          <w:color w:val="222222"/>
          <w:sz w:val="20"/>
          <w:szCs w:val="20"/>
        </w:rPr>
        <w:t xml:space="preserve"> would have enabled</w:t>
      </w:r>
      <w:r w:rsidR="004F0F89">
        <w:rPr>
          <w:rFonts w:ascii="Arial" w:eastAsia="Times New Roman" w:hAnsi="Arial" w:cs="Arial"/>
          <w:bCs/>
          <w:color w:val="222222"/>
          <w:sz w:val="20"/>
          <w:szCs w:val="20"/>
        </w:rPr>
        <w:t xml:space="preserve">. </w:t>
      </w:r>
      <w:r w:rsidR="00FB659D">
        <w:rPr>
          <w:rFonts w:ascii="Arial" w:eastAsia="Times New Roman" w:hAnsi="Arial" w:cs="Arial"/>
          <w:bCs/>
          <w:color w:val="222222"/>
          <w:sz w:val="20"/>
          <w:szCs w:val="20"/>
        </w:rPr>
        <w:t>To do this effectively,</w:t>
      </w:r>
      <w:r w:rsidR="00506B53">
        <w:rPr>
          <w:rFonts w:ascii="Arial" w:eastAsia="Times New Roman" w:hAnsi="Arial" w:cs="Arial"/>
          <w:bCs/>
          <w:color w:val="222222"/>
          <w:sz w:val="20"/>
          <w:szCs w:val="20"/>
        </w:rPr>
        <w:t xml:space="preserve"> the astronomical community needs to determine the </w:t>
      </w:r>
      <w:r w:rsidR="00506B53" w:rsidRPr="003921E7">
        <w:rPr>
          <w:rFonts w:ascii="Arial" w:eastAsia="Times New Roman" w:hAnsi="Arial" w:cs="Arial"/>
          <w:bCs/>
          <w:color w:val="222222"/>
          <w:sz w:val="20"/>
          <w:szCs w:val="20"/>
        </w:rPr>
        <w:t xml:space="preserve">quantitative proposal success rate threshold </w:t>
      </w:r>
      <w:r w:rsidR="00506B53">
        <w:rPr>
          <w:rFonts w:ascii="Arial" w:eastAsia="Times New Roman" w:hAnsi="Arial" w:cs="Arial"/>
          <w:bCs/>
          <w:color w:val="222222"/>
          <w:sz w:val="20"/>
          <w:szCs w:val="20"/>
        </w:rPr>
        <w:t xml:space="preserve">that should be </w:t>
      </w:r>
      <w:r w:rsidR="00506B53" w:rsidRPr="003921E7">
        <w:rPr>
          <w:rFonts w:ascii="Arial" w:eastAsia="Times New Roman" w:hAnsi="Arial" w:cs="Arial"/>
          <w:bCs/>
          <w:color w:val="222222"/>
          <w:sz w:val="20"/>
          <w:szCs w:val="20"/>
        </w:rPr>
        <w:t>considered “too low”</w:t>
      </w:r>
      <w:r w:rsidR="00506B53">
        <w:rPr>
          <w:rFonts w:ascii="Arial" w:eastAsia="Times New Roman" w:hAnsi="Arial" w:cs="Arial"/>
          <w:bCs/>
          <w:color w:val="222222"/>
          <w:sz w:val="20"/>
          <w:szCs w:val="20"/>
        </w:rPr>
        <w:t xml:space="preserve">, and then </w:t>
      </w:r>
      <w:r w:rsidR="002E6612">
        <w:rPr>
          <w:rFonts w:ascii="Arial" w:eastAsia="Times New Roman" w:hAnsi="Arial" w:cs="Arial"/>
          <w:bCs/>
          <w:color w:val="222222"/>
          <w:sz w:val="20"/>
          <w:szCs w:val="20"/>
        </w:rPr>
        <w:t>recommend</w:t>
      </w:r>
      <w:r w:rsidR="00961255">
        <w:rPr>
          <w:rFonts w:ascii="Arial" w:eastAsia="Times New Roman" w:hAnsi="Arial" w:cs="Arial"/>
          <w:bCs/>
          <w:color w:val="222222"/>
          <w:sz w:val="20"/>
          <w:szCs w:val="20"/>
        </w:rPr>
        <w:t xml:space="preserve"> and </w:t>
      </w:r>
      <w:r w:rsidR="00153566">
        <w:rPr>
          <w:rFonts w:ascii="Arial" w:eastAsia="Times New Roman" w:hAnsi="Arial" w:cs="Arial"/>
          <w:bCs/>
          <w:color w:val="222222"/>
          <w:sz w:val="20"/>
          <w:szCs w:val="20"/>
        </w:rPr>
        <w:t>actively encourage</w:t>
      </w:r>
      <w:r w:rsidR="002E6612">
        <w:rPr>
          <w:rFonts w:ascii="Arial" w:eastAsia="Times New Roman" w:hAnsi="Arial" w:cs="Arial"/>
          <w:bCs/>
          <w:color w:val="222222"/>
          <w:sz w:val="20"/>
          <w:szCs w:val="20"/>
        </w:rPr>
        <w:t xml:space="preserve"> </w:t>
      </w:r>
      <w:r w:rsidR="00506B53">
        <w:rPr>
          <w:rFonts w:ascii="Arial" w:eastAsia="Times New Roman" w:hAnsi="Arial" w:cs="Arial"/>
          <w:bCs/>
          <w:color w:val="222222"/>
          <w:sz w:val="20"/>
          <w:szCs w:val="20"/>
        </w:rPr>
        <w:t xml:space="preserve">policies </w:t>
      </w:r>
      <w:r w:rsidR="00153566">
        <w:rPr>
          <w:rFonts w:ascii="Arial" w:eastAsia="Times New Roman" w:hAnsi="Arial" w:cs="Arial"/>
          <w:bCs/>
          <w:color w:val="222222"/>
          <w:sz w:val="20"/>
          <w:szCs w:val="20"/>
        </w:rPr>
        <w:t>that</w:t>
      </w:r>
      <w:r w:rsidR="00506B53">
        <w:rPr>
          <w:rFonts w:ascii="Arial" w:eastAsia="Times New Roman" w:hAnsi="Arial" w:cs="Arial"/>
          <w:bCs/>
          <w:color w:val="222222"/>
          <w:sz w:val="20"/>
          <w:szCs w:val="20"/>
        </w:rPr>
        <w:t xml:space="preserve"> avoid dropping below that threshold.</w:t>
      </w:r>
    </w:p>
    <w:p w14:paraId="77045190" w14:textId="07336AE7" w:rsidR="00EC4755" w:rsidRPr="00ED78CA" w:rsidRDefault="00ED78CA" w:rsidP="006470B7">
      <w:pPr>
        <w:shd w:val="clear" w:color="auto" w:fill="FFFFFF"/>
        <w:spacing w:after="0" w:line="240" w:lineRule="auto"/>
        <w:rPr>
          <w:rFonts w:ascii="Arial" w:eastAsia="Times New Roman" w:hAnsi="Arial" w:cs="Arial"/>
          <w:bCs/>
          <w:color w:val="222222"/>
          <w:sz w:val="20"/>
          <w:szCs w:val="20"/>
        </w:rPr>
      </w:pPr>
      <w:r w:rsidRPr="006E60E6">
        <w:rPr>
          <w:rFonts w:ascii="Arial" w:eastAsia="Times New Roman" w:hAnsi="Arial" w:cs="Arial"/>
          <w:bCs/>
          <w:color w:val="222222"/>
          <w:sz w:val="20"/>
          <w:szCs w:val="20"/>
        </w:rPr>
        <w:t xml:space="preserve">This brief </w:t>
      </w:r>
      <w:r w:rsidR="00880879" w:rsidRPr="006E60E6">
        <w:rPr>
          <w:rFonts w:ascii="Arial" w:eastAsia="Times New Roman" w:hAnsi="Arial" w:cs="Arial"/>
          <w:bCs/>
          <w:color w:val="222222"/>
          <w:sz w:val="20"/>
          <w:szCs w:val="20"/>
        </w:rPr>
        <w:t xml:space="preserve">report </w:t>
      </w:r>
      <w:r w:rsidRPr="006E60E6">
        <w:rPr>
          <w:rFonts w:ascii="Arial" w:eastAsia="Times New Roman" w:hAnsi="Arial" w:cs="Arial"/>
          <w:bCs/>
          <w:color w:val="222222"/>
          <w:sz w:val="20"/>
          <w:szCs w:val="20"/>
        </w:rPr>
        <w:t xml:space="preserve">from the AAAC </w:t>
      </w:r>
      <w:r w:rsidR="0086618B" w:rsidRPr="006E60E6">
        <w:rPr>
          <w:rFonts w:ascii="Arial" w:eastAsia="Times New Roman" w:hAnsi="Arial" w:cs="Arial"/>
          <w:bCs/>
          <w:color w:val="222222"/>
          <w:sz w:val="20"/>
          <w:szCs w:val="20"/>
        </w:rPr>
        <w:t>Proposal Pressures Study Group</w:t>
      </w:r>
      <w:r w:rsidRPr="006E60E6">
        <w:rPr>
          <w:rFonts w:ascii="Arial" w:eastAsia="Times New Roman" w:hAnsi="Arial" w:cs="Arial"/>
          <w:bCs/>
          <w:color w:val="222222"/>
          <w:sz w:val="20"/>
          <w:szCs w:val="20"/>
        </w:rPr>
        <w:t xml:space="preserve"> presents the </w:t>
      </w:r>
      <w:r w:rsidR="00EC4268" w:rsidRPr="006E60E6">
        <w:rPr>
          <w:rFonts w:ascii="Arial" w:eastAsia="Times New Roman" w:hAnsi="Arial" w:cs="Arial"/>
          <w:bCs/>
          <w:color w:val="222222"/>
          <w:sz w:val="20"/>
          <w:szCs w:val="20"/>
        </w:rPr>
        <w:t xml:space="preserve">interim </w:t>
      </w:r>
      <w:r w:rsidRPr="006E60E6">
        <w:rPr>
          <w:rFonts w:ascii="Arial" w:eastAsia="Times New Roman" w:hAnsi="Arial" w:cs="Arial"/>
          <w:bCs/>
          <w:color w:val="222222"/>
          <w:sz w:val="20"/>
          <w:szCs w:val="20"/>
        </w:rPr>
        <w:t>results of an</w:t>
      </w:r>
      <w:r w:rsidR="00787500" w:rsidRPr="006E60E6">
        <w:rPr>
          <w:rFonts w:ascii="Arial" w:eastAsia="Times New Roman" w:hAnsi="Arial" w:cs="Arial"/>
          <w:bCs/>
          <w:color w:val="222222"/>
          <w:sz w:val="20"/>
          <w:szCs w:val="20"/>
        </w:rPr>
        <w:t xml:space="preserve"> ongoing</w:t>
      </w:r>
      <w:r w:rsidRPr="006E60E6">
        <w:rPr>
          <w:rFonts w:ascii="Arial" w:eastAsia="Times New Roman" w:hAnsi="Arial" w:cs="Arial"/>
          <w:bCs/>
          <w:color w:val="222222"/>
          <w:sz w:val="20"/>
          <w:szCs w:val="20"/>
        </w:rPr>
        <w:t xml:space="preserve"> analysis </w:t>
      </w:r>
      <w:r w:rsidR="00FE060C" w:rsidRPr="006E60E6">
        <w:rPr>
          <w:rFonts w:ascii="Arial" w:eastAsia="Times New Roman" w:hAnsi="Arial" w:cs="Arial"/>
          <w:bCs/>
          <w:color w:val="222222"/>
          <w:sz w:val="20"/>
          <w:szCs w:val="20"/>
        </w:rPr>
        <w:t>of funding agency statistics, together with findings from recent literature on the impact of proposal</w:t>
      </w:r>
      <w:r w:rsidR="008C7926" w:rsidRPr="006E60E6">
        <w:rPr>
          <w:rFonts w:ascii="Arial" w:eastAsia="Times New Roman" w:hAnsi="Arial" w:cs="Arial"/>
          <w:bCs/>
          <w:color w:val="222222"/>
          <w:sz w:val="20"/>
          <w:szCs w:val="20"/>
        </w:rPr>
        <w:t xml:space="preserve"> writing</w:t>
      </w:r>
      <w:r w:rsidR="00305820" w:rsidRPr="006E60E6">
        <w:rPr>
          <w:rFonts w:ascii="Arial" w:eastAsia="Times New Roman" w:hAnsi="Arial" w:cs="Arial"/>
          <w:bCs/>
          <w:color w:val="222222"/>
          <w:sz w:val="20"/>
          <w:szCs w:val="20"/>
        </w:rPr>
        <w:t xml:space="preserve">. </w:t>
      </w:r>
      <w:r w:rsidR="00787500" w:rsidRPr="006E60E6">
        <w:rPr>
          <w:rFonts w:ascii="Arial" w:eastAsia="Times New Roman" w:hAnsi="Arial" w:cs="Arial"/>
          <w:bCs/>
          <w:color w:val="222222"/>
          <w:sz w:val="20"/>
          <w:szCs w:val="20"/>
        </w:rPr>
        <w:t>Our purpose is to assess how declining success rates affect the health of research</w:t>
      </w:r>
      <w:r w:rsidR="006A2E56">
        <w:rPr>
          <w:rFonts w:ascii="Arial" w:eastAsia="Times New Roman" w:hAnsi="Arial" w:cs="Arial"/>
          <w:bCs/>
          <w:color w:val="222222"/>
          <w:sz w:val="20"/>
          <w:szCs w:val="20"/>
        </w:rPr>
        <w:t xml:space="preserve"> in the astronomical sciences</w:t>
      </w:r>
      <w:r w:rsidR="00626DF9" w:rsidRPr="006E60E6">
        <w:rPr>
          <w:rFonts w:ascii="Arial" w:eastAsia="Times New Roman" w:hAnsi="Arial" w:cs="Arial"/>
          <w:bCs/>
          <w:color w:val="222222"/>
          <w:sz w:val="20"/>
          <w:szCs w:val="20"/>
        </w:rPr>
        <w:t>.  This is a direct response to the 2014 AAAC report</w:t>
      </w:r>
      <w:r w:rsidR="00EF43FB" w:rsidRPr="006E60E6">
        <w:rPr>
          <w:rStyle w:val="FootnoteReference"/>
          <w:rFonts w:ascii="Arial" w:eastAsia="Times New Roman" w:hAnsi="Arial" w:cs="Arial"/>
          <w:bCs/>
          <w:color w:val="222222"/>
          <w:sz w:val="20"/>
          <w:szCs w:val="20"/>
        </w:rPr>
        <w:footnoteReference w:id="1"/>
      </w:r>
      <w:r w:rsidR="00626DF9" w:rsidRPr="006E60E6">
        <w:rPr>
          <w:rFonts w:ascii="Arial" w:eastAsia="Times New Roman" w:hAnsi="Arial" w:cs="Arial"/>
          <w:bCs/>
          <w:color w:val="222222"/>
          <w:sz w:val="20"/>
          <w:szCs w:val="20"/>
        </w:rPr>
        <w:t xml:space="preserve"> recommendation: “</w:t>
      </w:r>
      <w:r w:rsidR="00626DF9" w:rsidRPr="006E60E6">
        <w:rPr>
          <w:rFonts w:ascii="Arial" w:hAnsi="Arial" w:cs="Arial"/>
          <w:i/>
          <w:sz w:val="20"/>
          <w:szCs w:val="20"/>
        </w:rPr>
        <w:t xml:space="preserve">The AAAC and the agencies should work together to clarify and quantify the questions related to individual investigator grants and mid-scale programs raised in this report. Other groups such as the American </w:t>
      </w:r>
      <w:r w:rsidR="00626DF9" w:rsidRPr="006E60E6">
        <w:rPr>
          <w:rFonts w:ascii="Arial" w:hAnsi="Arial" w:cs="Arial"/>
          <w:i/>
          <w:sz w:val="20"/>
          <w:szCs w:val="20"/>
        </w:rPr>
        <w:lastRenderedPageBreak/>
        <w:t>Astronomical Society and the National Research Council’s Committee on Astronomy and Astrophysics shou</w:t>
      </w:r>
      <w:r w:rsidR="006E60E6">
        <w:rPr>
          <w:rFonts w:ascii="Arial" w:hAnsi="Arial" w:cs="Arial"/>
          <w:i/>
          <w:sz w:val="20"/>
          <w:szCs w:val="20"/>
        </w:rPr>
        <w:t xml:space="preserve">ld be involved as appropriate. </w:t>
      </w:r>
      <w:r w:rsidR="00626DF9" w:rsidRPr="006E60E6">
        <w:rPr>
          <w:rFonts w:ascii="Arial" w:hAnsi="Arial" w:cs="Arial"/>
          <w:i/>
          <w:sz w:val="20"/>
          <w:szCs w:val="20"/>
        </w:rPr>
        <w:t xml:space="preserve">The goal should be a clearer factual base on which to assess the health of the current individual investigator grants programs and make recommendations for future improvements.” </w:t>
      </w:r>
      <w:r w:rsidR="00626DF9" w:rsidRPr="006E60E6">
        <w:rPr>
          <w:rFonts w:ascii="Arial" w:hAnsi="Arial" w:cs="Arial"/>
          <w:sz w:val="20"/>
          <w:szCs w:val="20"/>
        </w:rPr>
        <w:t>The 2015 AAAC report</w:t>
      </w:r>
      <w:r w:rsidR="00EF43FB" w:rsidRPr="006E60E6">
        <w:rPr>
          <w:rStyle w:val="FootnoteReference"/>
          <w:rFonts w:ascii="Arial" w:hAnsi="Arial" w:cs="Arial"/>
          <w:sz w:val="20"/>
          <w:szCs w:val="20"/>
        </w:rPr>
        <w:footnoteReference w:id="2"/>
      </w:r>
      <w:r w:rsidR="00626DF9" w:rsidRPr="006E60E6">
        <w:rPr>
          <w:rFonts w:ascii="Arial" w:hAnsi="Arial" w:cs="Arial"/>
          <w:sz w:val="20"/>
          <w:szCs w:val="20"/>
        </w:rPr>
        <w:t xml:space="preserve"> included preliminary findings from the </w:t>
      </w:r>
      <w:r w:rsidR="00463957" w:rsidRPr="006E60E6">
        <w:rPr>
          <w:rFonts w:ascii="Arial" w:hAnsi="Arial" w:cs="Arial"/>
          <w:sz w:val="20"/>
          <w:szCs w:val="20"/>
        </w:rPr>
        <w:t>newly</w:t>
      </w:r>
      <w:r w:rsidR="00CA3A89">
        <w:rPr>
          <w:rFonts w:ascii="Arial" w:hAnsi="Arial" w:cs="Arial"/>
          <w:sz w:val="20"/>
          <w:szCs w:val="20"/>
        </w:rPr>
        <w:t xml:space="preserve"> </w:t>
      </w:r>
      <w:r w:rsidR="00463957" w:rsidRPr="006E60E6">
        <w:rPr>
          <w:rFonts w:ascii="Arial" w:hAnsi="Arial" w:cs="Arial"/>
          <w:sz w:val="20"/>
          <w:szCs w:val="20"/>
        </w:rPr>
        <w:t xml:space="preserve">formed </w:t>
      </w:r>
      <w:r w:rsidR="00F51580">
        <w:rPr>
          <w:rFonts w:ascii="Arial" w:hAnsi="Arial" w:cs="Arial"/>
          <w:sz w:val="20"/>
          <w:szCs w:val="20"/>
        </w:rPr>
        <w:t>s</w:t>
      </w:r>
      <w:r w:rsidR="00626DF9" w:rsidRPr="006E60E6">
        <w:rPr>
          <w:rFonts w:ascii="Arial" w:hAnsi="Arial" w:cs="Arial"/>
          <w:sz w:val="20"/>
          <w:szCs w:val="20"/>
        </w:rPr>
        <w:t xml:space="preserve">tudy </w:t>
      </w:r>
      <w:r w:rsidR="00F51580">
        <w:rPr>
          <w:rFonts w:ascii="Arial" w:hAnsi="Arial" w:cs="Arial"/>
          <w:sz w:val="20"/>
          <w:szCs w:val="20"/>
        </w:rPr>
        <w:t>g</w:t>
      </w:r>
      <w:r w:rsidR="00626DF9" w:rsidRPr="006E60E6">
        <w:rPr>
          <w:rFonts w:ascii="Arial" w:hAnsi="Arial" w:cs="Arial"/>
          <w:sz w:val="20"/>
          <w:szCs w:val="20"/>
        </w:rPr>
        <w:t>roup, m</w:t>
      </w:r>
      <w:r w:rsidR="006E60E6">
        <w:rPr>
          <w:rFonts w:ascii="Arial" w:hAnsi="Arial" w:cs="Arial"/>
          <w:sz w:val="20"/>
          <w:szCs w:val="20"/>
        </w:rPr>
        <w:t>any of which are included here.</w:t>
      </w:r>
      <w:r w:rsidR="00626DF9" w:rsidRPr="006E60E6">
        <w:rPr>
          <w:rFonts w:ascii="Arial" w:hAnsi="Arial" w:cs="Arial"/>
          <w:sz w:val="20"/>
          <w:szCs w:val="20"/>
        </w:rPr>
        <w:t xml:space="preserve"> In this short report, we also put the effect of </w:t>
      </w:r>
      <w:r w:rsidR="00463957" w:rsidRPr="006E60E6">
        <w:rPr>
          <w:rFonts w:ascii="Arial" w:hAnsi="Arial" w:cs="Arial"/>
          <w:sz w:val="20"/>
          <w:szCs w:val="20"/>
        </w:rPr>
        <w:t>falling success rates in context, by examining results from</w:t>
      </w:r>
      <w:r w:rsidR="00626DF9" w:rsidRPr="006E60E6">
        <w:rPr>
          <w:rFonts w:ascii="Arial" w:hAnsi="Arial" w:cs="Arial"/>
          <w:sz w:val="20"/>
          <w:szCs w:val="20"/>
        </w:rPr>
        <w:t xml:space="preserve"> </w:t>
      </w:r>
      <w:r w:rsidR="00463957" w:rsidRPr="006E60E6">
        <w:rPr>
          <w:rFonts w:ascii="Arial" w:hAnsi="Arial" w:cs="Arial"/>
          <w:sz w:val="20"/>
          <w:szCs w:val="20"/>
        </w:rPr>
        <w:t>“A Survey Analysis of Grant Writing Costs and Benefits</w:t>
      </w:r>
      <w:r w:rsidR="00500585">
        <w:rPr>
          <w:rFonts w:ascii="Arial" w:hAnsi="Arial" w:cs="Arial"/>
          <w:sz w:val="20"/>
          <w:szCs w:val="20"/>
        </w:rPr>
        <w:t>.</w:t>
      </w:r>
      <w:r w:rsidR="00463957" w:rsidRPr="006E60E6">
        <w:rPr>
          <w:rFonts w:ascii="Arial" w:hAnsi="Arial" w:cs="Arial"/>
          <w:sz w:val="20"/>
          <w:szCs w:val="20"/>
        </w:rPr>
        <w:t>”</w:t>
      </w:r>
      <w:bookmarkStart w:id="1" w:name="_Ref424042053"/>
      <w:r w:rsidR="00463957" w:rsidRPr="006E60E6">
        <w:rPr>
          <w:rStyle w:val="FootnoteReference"/>
          <w:rFonts w:ascii="Arial" w:hAnsi="Arial" w:cs="Arial"/>
          <w:sz w:val="20"/>
          <w:szCs w:val="20"/>
        </w:rPr>
        <w:footnoteReference w:id="3"/>
      </w:r>
      <w:bookmarkEnd w:id="1"/>
    </w:p>
    <w:p w14:paraId="7BBA0602" w14:textId="77777777" w:rsidR="00E669F5" w:rsidRDefault="00E669F5" w:rsidP="00812B60">
      <w:pPr>
        <w:shd w:val="clear" w:color="auto" w:fill="FFFFFF"/>
        <w:spacing w:after="0" w:line="240" w:lineRule="auto"/>
        <w:ind w:firstLine="720"/>
        <w:rPr>
          <w:rFonts w:ascii="Arial" w:eastAsia="Times New Roman" w:hAnsi="Arial" w:cs="Arial"/>
          <w:b/>
          <w:color w:val="222222"/>
        </w:rPr>
      </w:pPr>
    </w:p>
    <w:p w14:paraId="2A856EF1" w14:textId="50F00EC5" w:rsidR="00E669F5" w:rsidRPr="006470B7" w:rsidRDefault="006470B7" w:rsidP="00812B6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color w:val="222222"/>
        </w:rPr>
        <w:t>2</w:t>
      </w:r>
      <w:r w:rsidR="007E342D">
        <w:rPr>
          <w:rFonts w:ascii="Arial" w:eastAsia="Times New Roman" w:hAnsi="Arial" w:cs="Arial"/>
          <w:b/>
          <w:color w:val="222222"/>
        </w:rPr>
        <w:t xml:space="preserve">. </w:t>
      </w:r>
      <w:r w:rsidR="007E342D" w:rsidRPr="00B948ED">
        <w:rPr>
          <w:rFonts w:ascii="Arial" w:eastAsia="Times New Roman" w:hAnsi="Arial" w:cs="Arial"/>
          <w:b/>
          <w:color w:val="222222"/>
          <w:u w:val="single"/>
        </w:rPr>
        <w:t xml:space="preserve">Proposal success </w:t>
      </w:r>
      <w:r w:rsidR="005C5FEC" w:rsidRPr="00B948ED">
        <w:rPr>
          <w:rFonts w:ascii="Arial" w:eastAsia="Times New Roman" w:hAnsi="Arial" w:cs="Arial"/>
          <w:b/>
          <w:color w:val="222222"/>
          <w:u w:val="single"/>
        </w:rPr>
        <w:t>rate</w:t>
      </w:r>
      <w:r w:rsidR="007E342D" w:rsidRPr="00B948ED">
        <w:rPr>
          <w:rFonts w:ascii="Arial" w:eastAsia="Times New Roman" w:hAnsi="Arial" w:cs="Arial"/>
          <w:b/>
          <w:color w:val="222222"/>
          <w:u w:val="single"/>
        </w:rPr>
        <w:t>s</w:t>
      </w:r>
      <w:r w:rsidR="00113401" w:rsidRPr="00B948ED">
        <w:rPr>
          <w:rFonts w:ascii="Arial" w:eastAsia="Times New Roman" w:hAnsi="Arial" w:cs="Arial"/>
          <w:b/>
          <w:color w:val="222222"/>
          <w:u w:val="single"/>
        </w:rPr>
        <w:t xml:space="preserve"> and demographic </w:t>
      </w:r>
      <w:r w:rsidR="00F662FF" w:rsidRPr="00B948ED">
        <w:rPr>
          <w:rFonts w:ascii="Arial" w:eastAsia="Times New Roman" w:hAnsi="Arial" w:cs="Arial"/>
          <w:b/>
          <w:color w:val="222222"/>
          <w:u w:val="single"/>
        </w:rPr>
        <w:t xml:space="preserve">trends </w:t>
      </w:r>
      <w:r w:rsidR="00B51E42">
        <w:rPr>
          <w:rFonts w:ascii="Arial" w:eastAsia="Times New Roman" w:hAnsi="Arial" w:cs="Arial"/>
          <w:b/>
          <w:color w:val="222222"/>
        </w:rPr>
        <w:br/>
      </w:r>
      <w:r w:rsidR="00E80906">
        <w:rPr>
          <w:rFonts w:ascii="Arial" w:eastAsia="Times New Roman" w:hAnsi="Arial" w:cs="Arial"/>
          <w:color w:val="222222"/>
        </w:rPr>
        <w:br/>
      </w:r>
      <w:r w:rsidR="007E342D">
        <w:rPr>
          <w:rFonts w:ascii="Arial" w:eastAsia="Times New Roman" w:hAnsi="Arial" w:cs="Arial"/>
          <w:color w:val="222222"/>
          <w:sz w:val="20"/>
          <w:szCs w:val="20"/>
        </w:rPr>
        <w:t>T</w:t>
      </w:r>
      <w:r w:rsidR="000B6CE6" w:rsidRPr="000B6CE6">
        <w:rPr>
          <w:rFonts w:ascii="Arial" w:eastAsia="Times New Roman" w:hAnsi="Arial" w:cs="Arial"/>
          <w:color w:val="222222"/>
          <w:sz w:val="20"/>
          <w:szCs w:val="20"/>
        </w:rPr>
        <w:t xml:space="preserve">he </w:t>
      </w:r>
      <w:r w:rsidR="000B6CE6">
        <w:rPr>
          <w:rFonts w:ascii="Arial" w:eastAsia="Times New Roman" w:hAnsi="Arial" w:cs="Arial"/>
          <w:color w:val="222222"/>
          <w:sz w:val="20"/>
          <w:szCs w:val="20"/>
        </w:rPr>
        <w:t xml:space="preserve">data clearly indicate that the </w:t>
      </w:r>
      <w:r w:rsidR="000B6CE6" w:rsidRPr="000B6CE6">
        <w:rPr>
          <w:rFonts w:ascii="Arial" w:eastAsia="Times New Roman" w:hAnsi="Arial" w:cs="Arial"/>
          <w:color w:val="222222"/>
          <w:sz w:val="20"/>
          <w:szCs w:val="20"/>
        </w:rPr>
        <w:t xml:space="preserve">number of </w:t>
      </w:r>
      <w:r w:rsidR="00CB7113">
        <w:rPr>
          <w:rFonts w:ascii="Arial" w:eastAsia="Times New Roman" w:hAnsi="Arial" w:cs="Arial"/>
          <w:color w:val="222222"/>
          <w:sz w:val="20"/>
          <w:szCs w:val="20"/>
        </w:rPr>
        <w:t>proposals</w:t>
      </w:r>
      <w:r w:rsidR="007E342D">
        <w:rPr>
          <w:rFonts w:ascii="Arial" w:eastAsia="Times New Roman" w:hAnsi="Arial" w:cs="Arial"/>
          <w:color w:val="222222"/>
          <w:sz w:val="20"/>
          <w:szCs w:val="20"/>
        </w:rPr>
        <w:t xml:space="preserve"> submitted to NASA and NSF</w:t>
      </w:r>
      <w:r w:rsidR="00130D8F" w:rsidRPr="00130D8F">
        <w:rPr>
          <w:rFonts w:ascii="Arial" w:eastAsia="Times New Roman" w:hAnsi="Arial" w:cs="Arial"/>
          <w:color w:val="222222"/>
          <w:sz w:val="20"/>
          <w:szCs w:val="20"/>
        </w:rPr>
        <w:t xml:space="preserve"> </w:t>
      </w:r>
      <w:r w:rsidR="00130D8F">
        <w:rPr>
          <w:rFonts w:ascii="Arial" w:eastAsia="Times New Roman" w:hAnsi="Arial" w:cs="Arial"/>
          <w:color w:val="222222"/>
          <w:sz w:val="20"/>
          <w:szCs w:val="20"/>
        </w:rPr>
        <w:t>for individual investigator and mid-scale grants</w:t>
      </w:r>
      <w:r w:rsidR="00130D8F" w:rsidRPr="0086618B">
        <w:rPr>
          <w:rFonts w:ascii="Arial" w:eastAsia="Times New Roman" w:hAnsi="Arial" w:cs="Arial"/>
          <w:color w:val="222222"/>
          <w:sz w:val="20"/>
          <w:szCs w:val="20"/>
        </w:rPr>
        <w:t xml:space="preserve"> in </w:t>
      </w:r>
      <w:r w:rsidR="006A2E56">
        <w:rPr>
          <w:rFonts w:ascii="Arial" w:eastAsia="Times New Roman" w:hAnsi="Arial" w:cs="Arial"/>
          <w:color w:val="222222"/>
          <w:sz w:val="20"/>
          <w:szCs w:val="20"/>
        </w:rPr>
        <w:t xml:space="preserve">astronomy and astrophysics, planetary sciences, and </w:t>
      </w:r>
      <w:proofErr w:type="spellStart"/>
      <w:r w:rsidR="006A2E56">
        <w:rPr>
          <w:rFonts w:ascii="Arial" w:eastAsia="Times New Roman" w:hAnsi="Arial" w:cs="Arial"/>
          <w:color w:val="222222"/>
          <w:sz w:val="20"/>
          <w:szCs w:val="20"/>
        </w:rPr>
        <w:t>heliophysics</w:t>
      </w:r>
      <w:proofErr w:type="spellEnd"/>
      <w:r w:rsidR="006A2E56">
        <w:rPr>
          <w:rFonts w:ascii="Arial" w:eastAsia="Times New Roman" w:hAnsi="Arial" w:cs="Arial"/>
          <w:color w:val="222222"/>
          <w:sz w:val="20"/>
          <w:szCs w:val="20"/>
        </w:rPr>
        <w:t xml:space="preserve"> </w:t>
      </w:r>
      <w:r w:rsidR="000B6CE6" w:rsidRPr="000B6CE6">
        <w:rPr>
          <w:rFonts w:ascii="Arial" w:eastAsia="Times New Roman" w:hAnsi="Arial" w:cs="Arial"/>
          <w:color w:val="222222"/>
          <w:sz w:val="20"/>
          <w:szCs w:val="20"/>
        </w:rPr>
        <w:t xml:space="preserve">is increasing faster than the </w:t>
      </w:r>
      <w:r w:rsidR="00F662FF">
        <w:rPr>
          <w:rFonts w:ascii="Arial" w:eastAsia="Times New Roman" w:hAnsi="Arial" w:cs="Arial"/>
          <w:color w:val="222222"/>
          <w:sz w:val="20"/>
          <w:szCs w:val="20"/>
        </w:rPr>
        <w:t xml:space="preserve">available </w:t>
      </w:r>
      <w:r w:rsidR="000B6CE6" w:rsidRPr="000B6CE6">
        <w:rPr>
          <w:rFonts w:ascii="Arial" w:eastAsia="Times New Roman" w:hAnsi="Arial" w:cs="Arial"/>
          <w:color w:val="222222"/>
          <w:sz w:val="20"/>
          <w:szCs w:val="20"/>
        </w:rPr>
        <w:t>funding, causing a corresponding drop in success rate</w:t>
      </w:r>
      <w:r w:rsidR="005F0FFB">
        <w:rPr>
          <w:rFonts w:ascii="Arial" w:eastAsia="Times New Roman" w:hAnsi="Arial" w:cs="Arial"/>
          <w:color w:val="222222"/>
          <w:sz w:val="20"/>
          <w:szCs w:val="20"/>
        </w:rPr>
        <w:t xml:space="preserve">. </w:t>
      </w:r>
      <w:r w:rsidR="007318B0">
        <w:rPr>
          <w:rFonts w:ascii="Arial" w:eastAsia="Times New Roman" w:hAnsi="Arial" w:cs="Arial"/>
          <w:color w:val="222222"/>
          <w:sz w:val="20"/>
          <w:szCs w:val="20"/>
        </w:rPr>
        <w:t>T</w:t>
      </w:r>
      <w:r w:rsidR="006721E2">
        <w:rPr>
          <w:rFonts w:ascii="Arial" w:eastAsia="Times New Roman" w:hAnsi="Arial" w:cs="Arial"/>
          <w:color w:val="222222"/>
          <w:sz w:val="20"/>
          <w:szCs w:val="20"/>
        </w:rPr>
        <w:t>he data show</w:t>
      </w:r>
      <w:r w:rsidR="000B6CE6" w:rsidRPr="000B6CE6">
        <w:rPr>
          <w:rFonts w:ascii="Arial" w:eastAsia="Times New Roman" w:hAnsi="Arial" w:cs="Arial"/>
          <w:color w:val="222222"/>
          <w:sz w:val="20"/>
          <w:szCs w:val="20"/>
        </w:rPr>
        <w:t xml:space="preserve"> that the PIs submitting these proposals have remained a stable demographic entity in terms </w:t>
      </w:r>
      <w:r w:rsidR="000B6CE6">
        <w:rPr>
          <w:rFonts w:ascii="Arial" w:eastAsia="Times New Roman" w:hAnsi="Arial" w:cs="Arial"/>
          <w:color w:val="222222"/>
          <w:sz w:val="20"/>
          <w:szCs w:val="20"/>
        </w:rPr>
        <w:t xml:space="preserve">of </w:t>
      </w:r>
      <w:r w:rsidR="000B6CE6" w:rsidRPr="000B6CE6">
        <w:rPr>
          <w:rFonts w:ascii="Arial" w:eastAsia="Times New Roman" w:hAnsi="Arial" w:cs="Arial"/>
          <w:color w:val="222222"/>
          <w:sz w:val="20"/>
          <w:szCs w:val="20"/>
        </w:rPr>
        <w:t>race, gender, number o</w:t>
      </w:r>
      <w:r w:rsidR="000B6CE6">
        <w:rPr>
          <w:rFonts w:ascii="Arial" w:eastAsia="Times New Roman" w:hAnsi="Arial" w:cs="Arial"/>
          <w:color w:val="222222"/>
          <w:sz w:val="20"/>
          <w:szCs w:val="20"/>
        </w:rPr>
        <w:t>f years since PhD, type of i</w:t>
      </w:r>
      <w:r w:rsidR="000B6CE6" w:rsidRPr="000B6CE6">
        <w:rPr>
          <w:rFonts w:ascii="Arial" w:eastAsia="Times New Roman" w:hAnsi="Arial" w:cs="Arial"/>
          <w:color w:val="222222"/>
          <w:sz w:val="20"/>
          <w:szCs w:val="20"/>
        </w:rPr>
        <w:t>nstitution</w:t>
      </w:r>
      <w:r w:rsidR="00BB19F3">
        <w:rPr>
          <w:rFonts w:ascii="Arial" w:eastAsia="Times New Roman" w:hAnsi="Arial" w:cs="Arial"/>
          <w:color w:val="222222"/>
          <w:sz w:val="20"/>
          <w:szCs w:val="20"/>
        </w:rPr>
        <w:t>, and number of proposals submitted per opportunity</w:t>
      </w:r>
      <w:r w:rsidR="000B6CE6" w:rsidRPr="000B6CE6">
        <w:rPr>
          <w:rFonts w:ascii="Arial" w:eastAsia="Times New Roman" w:hAnsi="Arial" w:cs="Arial"/>
          <w:color w:val="222222"/>
          <w:sz w:val="20"/>
          <w:szCs w:val="20"/>
        </w:rPr>
        <w:t>.</w:t>
      </w:r>
      <w:r w:rsidR="000B6CE6">
        <w:rPr>
          <w:rFonts w:ascii="Arial" w:eastAsia="Times New Roman" w:hAnsi="Arial" w:cs="Arial"/>
          <w:color w:val="222222"/>
          <w:sz w:val="20"/>
          <w:szCs w:val="20"/>
        </w:rPr>
        <w:t xml:space="preserve"> </w:t>
      </w:r>
      <w:r w:rsidR="00F818A4">
        <w:rPr>
          <w:rFonts w:ascii="Arial" w:eastAsia="Times New Roman" w:hAnsi="Arial" w:cs="Arial"/>
          <w:color w:val="222222"/>
          <w:sz w:val="20"/>
          <w:szCs w:val="20"/>
        </w:rPr>
        <w:t xml:space="preserve"> </w:t>
      </w:r>
      <w:r w:rsidR="007318B0">
        <w:rPr>
          <w:rFonts w:ascii="Arial" w:eastAsia="Times New Roman" w:hAnsi="Arial" w:cs="Arial"/>
          <w:color w:val="222222"/>
          <w:sz w:val="20"/>
          <w:szCs w:val="20"/>
        </w:rPr>
        <w:t xml:space="preserve">However, as discussed below, the data do indicate that proposers are now more likely to resubmit </w:t>
      </w:r>
      <w:proofErr w:type="gramStart"/>
      <w:r w:rsidR="007318B0">
        <w:rPr>
          <w:rFonts w:ascii="Arial" w:eastAsia="Times New Roman" w:hAnsi="Arial" w:cs="Arial"/>
          <w:color w:val="222222"/>
          <w:sz w:val="20"/>
          <w:szCs w:val="20"/>
        </w:rPr>
        <w:t>their</w:t>
      </w:r>
      <w:proofErr w:type="gramEnd"/>
      <w:r w:rsidR="007318B0">
        <w:rPr>
          <w:rFonts w:ascii="Arial" w:eastAsia="Times New Roman" w:hAnsi="Arial" w:cs="Arial"/>
          <w:color w:val="222222"/>
          <w:sz w:val="20"/>
          <w:szCs w:val="20"/>
        </w:rPr>
        <w:t xml:space="preserve"> meritorious but unfunded proposals. </w:t>
      </w:r>
      <w:r w:rsidR="000B6CE6">
        <w:rPr>
          <w:rFonts w:ascii="Arial" w:eastAsia="Times New Roman" w:hAnsi="Arial" w:cs="Arial"/>
          <w:color w:val="222222"/>
          <w:sz w:val="20"/>
          <w:szCs w:val="20"/>
        </w:rPr>
        <w:t xml:space="preserve">The data </w:t>
      </w:r>
      <w:r w:rsidR="006721E2">
        <w:rPr>
          <w:rFonts w:ascii="Arial" w:eastAsia="Times New Roman" w:hAnsi="Arial" w:cs="Arial"/>
          <w:color w:val="222222"/>
          <w:sz w:val="20"/>
          <w:szCs w:val="20"/>
        </w:rPr>
        <w:t>therefore</w:t>
      </w:r>
      <w:r w:rsidR="000B6CE6">
        <w:rPr>
          <w:rFonts w:ascii="Arial" w:eastAsia="Times New Roman" w:hAnsi="Arial" w:cs="Arial"/>
          <w:color w:val="222222"/>
          <w:sz w:val="20"/>
          <w:szCs w:val="20"/>
        </w:rPr>
        <w:t xml:space="preserve"> suggest that r</w:t>
      </w:r>
      <w:r w:rsidR="000B6CE6" w:rsidRPr="000B6CE6">
        <w:rPr>
          <w:rFonts w:ascii="Arial" w:eastAsia="Times New Roman" w:hAnsi="Arial" w:cs="Arial"/>
          <w:color w:val="222222"/>
          <w:sz w:val="20"/>
          <w:szCs w:val="20"/>
        </w:rPr>
        <w:t xml:space="preserve">esearchers </w:t>
      </w:r>
      <w:r w:rsidR="000B6CE6">
        <w:rPr>
          <w:rFonts w:ascii="Arial" w:eastAsia="Times New Roman" w:hAnsi="Arial" w:cs="Arial"/>
          <w:color w:val="222222"/>
          <w:sz w:val="20"/>
          <w:szCs w:val="20"/>
        </w:rPr>
        <w:t xml:space="preserve">consequently </w:t>
      </w:r>
      <w:r w:rsidR="000B6CE6" w:rsidRPr="000B6CE6">
        <w:rPr>
          <w:rFonts w:ascii="Arial" w:eastAsia="Times New Roman" w:hAnsi="Arial" w:cs="Arial"/>
          <w:color w:val="222222"/>
          <w:sz w:val="20"/>
          <w:szCs w:val="20"/>
        </w:rPr>
        <w:t xml:space="preserve">spend </w:t>
      </w:r>
      <w:r w:rsidR="007318B0">
        <w:rPr>
          <w:rFonts w:ascii="Arial" w:eastAsia="Times New Roman" w:hAnsi="Arial" w:cs="Arial"/>
          <w:color w:val="222222"/>
          <w:sz w:val="20"/>
          <w:szCs w:val="20"/>
        </w:rPr>
        <w:t>more</w:t>
      </w:r>
      <w:r w:rsidR="000B6CE6" w:rsidRPr="000B6CE6">
        <w:rPr>
          <w:rFonts w:ascii="Arial" w:eastAsia="Times New Roman" w:hAnsi="Arial" w:cs="Arial"/>
          <w:color w:val="222222"/>
          <w:sz w:val="20"/>
          <w:szCs w:val="20"/>
        </w:rPr>
        <w:t xml:space="preserve"> time re-submitting </w:t>
      </w:r>
      <w:r w:rsidR="00587161">
        <w:rPr>
          <w:rFonts w:ascii="Arial" w:eastAsia="Times New Roman" w:hAnsi="Arial" w:cs="Arial"/>
          <w:color w:val="222222"/>
          <w:sz w:val="20"/>
          <w:szCs w:val="20"/>
        </w:rPr>
        <w:t xml:space="preserve">their </w:t>
      </w:r>
      <w:r w:rsidR="000B6CE6" w:rsidRPr="000B6CE6">
        <w:rPr>
          <w:rFonts w:ascii="Arial" w:eastAsia="Times New Roman" w:hAnsi="Arial" w:cs="Arial"/>
          <w:color w:val="222222"/>
          <w:sz w:val="20"/>
          <w:szCs w:val="20"/>
        </w:rPr>
        <w:t>proposals</w:t>
      </w:r>
      <w:r w:rsidR="00587161">
        <w:rPr>
          <w:rFonts w:ascii="Arial" w:eastAsia="Times New Roman" w:hAnsi="Arial" w:cs="Arial"/>
          <w:color w:val="222222"/>
          <w:sz w:val="20"/>
          <w:szCs w:val="20"/>
        </w:rPr>
        <w:t>, often to no avail</w:t>
      </w:r>
      <w:r w:rsidR="000B6CE6" w:rsidRPr="006470B7">
        <w:rPr>
          <w:rFonts w:ascii="Arial" w:eastAsia="Times New Roman" w:hAnsi="Arial" w:cs="Arial"/>
          <w:color w:val="222222"/>
          <w:sz w:val="20"/>
          <w:szCs w:val="20"/>
        </w:rPr>
        <w:t xml:space="preserve">. </w:t>
      </w:r>
      <w:r w:rsidR="00DB2F62" w:rsidRPr="006470B7">
        <w:rPr>
          <w:rFonts w:ascii="Arial" w:eastAsia="Times New Roman" w:hAnsi="Arial" w:cs="Arial"/>
          <w:color w:val="222222"/>
          <w:sz w:val="20"/>
          <w:szCs w:val="20"/>
        </w:rPr>
        <w:t>We consider the impact on scie</w:t>
      </w:r>
      <w:r w:rsidRPr="006470B7">
        <w:rPr>
          <w:rFonts w:ascii="Arial" w:eastAsia="Times New Roman" w:hAnsi="Arial" w:cs="Arial"/>
          <w:color w:val="222222"/>
          <w:sz w:val="20"/>
          <w:szCs w:val="20"/>
        </w:rPr>
        <w:t>ntific productivity in Section 3</w:t>
      </w:r>
      <w:r w:rsidR="00DB2F62" w:rsidRPr="006470B7">
        <w:rPr>
          <w:rFonts w:ascii="Arial" w:eastAsia="Times New Roman" w:hAnsi="Arial" w:cs="Arial"/>
          <w:color w:val="222222"/>
          <w:sz w:val="20"/>
          <w:szCs w:val="20"/>
        </w:rPr>
        <w:t xml:space="preserve">. </w:t>
      </w:r>
    </w:p>
    <w:p w14:paraId="57269ADB" w14:textId="0F4A3A1F" w:rsidR="007A5536" w:rsidRPr="003921E7" w:rsidRDefault="006470B7" w:rsidP="00EE4C36">
      <w:pPr>
        <w:shd w:val="clear" w:color="auto" w:fill="FFFFFF"/>
        <w:spacing w:before="120" w:after="120" w:line="240" w:lineRule="auto"/>
        <w:rPr>
          <w:rFonts w:ascii="Arial" w:eastAsia="Times New Roman" w:hAnsi="Arial" w:cs="Arial"/>
          <w:b/>
          <w:i/>
          <w:color w:val="222222"/>
          <w:sz w:val="20"/>
          <w:szCs w:val="20"/>
        </w:rPr>
      </w:pPr>
      <w:r>
        <w:rPr>
          <w:rFonts w:ascii="Arial" w:eastAsia="Times New Roman" w:hAnsi="Arial" w:cs="Arial"/>
          <w:b/>
          <w:i/>
          <w:color w:val="222222"/>
          <w:sz w:val="20"/>
          <w:szCs w:val="20"/>
        </w:rPr>
        <w:t>2</w:t>
      </w:r>
      <w:r w:rsidR="00EE4C36" w:rsidRPr="006470B7">
        <w:rPr>
          <w:rFonts w:ascii="Arial" w:eastAsia="Times New Roman" w:hAnsi="Arial" w:cs="Arial"/>
          <w:b/>
          <w:i/>
          <w:color w:val="222222"/>
          <w:sz w:val="20"/>
          <w:szCs w:val="20"/>
        </w:rPr>
        <w:t xml:space="preserve">.1   </w:t>
      </w:r>
      <w:r w:rsidR="006B7732" w:rsidRPr="006470B7">
        <w:rPr>
          <w:rFonts w:ascii="Arial" w:eastAsia="Times New Roman" w:hAnsi="Arial" w:cs="Arial"/>
          <w:b/>
          <w:i/>
          <w:color w:val="222222"/>
          <w:sz w:val="20"/>
          <w:szCs w:val="20"/>
        </w:rPr>
        <w:t>Funding</w:t>
      </w:r>
      <w:r w:rsidR="00856719" w:rsidRPr="006470B7">
        <w:rPr>
          <w:rFonts w:ascii="Arial" w:eastAsia="Times New Roman" w:hAnsi="Arial" w:cs="Arial"/>
          <w:b/>
          <w:i/>
          <w:color w:val="222222"/>
          <w:sz w:val="20"/>
          <w:szCs w:val="20"/>
        </w:rPr>
        <w:t xml:space="preserve"> in NSF and NASA</w:t>
      </w:r>
    </w:p>
    <w:p w14:paraId="35F6791B" w14:textId="5791AFC5" w:rsidR="00B576AE" w:rsidRDefault="00AC6E8A" w:rsidP="00E57FA2">
      <w:pPr>
        <w:shd w:val="clear" w:color="auto" w:fill="FFFFFF"/>
        <w:spacing w:before="120" w:after="12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 </w:t>
      </w:r>
      <w:r w:rsidR="00856719">
        <w:rPr>
          <w:rFonts w:ascii="Arial" w:eastAsia="Times New Roman" w:hAnsi="Arial" w:cs="Arial"/>
          <w:color w:val="222222"/>
          <w:sz w:val="20"/>
          <w:szCs w:val="20"/>
        </w:rPr>
        <w:t>NSF Divisio</w:t>
      </w:r>
      <w:r w:rsidR="009D43DB">
        <w:rPr>
          <w:rFonts w:ascii="Arial" w:eastAsia="Times New Roman" w:hAnsi="Arial" w:cs="Arial"/>
          <w:color w:val="222222"/>
          <w:sz w:val="20"/>
          <w:szCs w:val="20"/>
        </w:rPr>
        <w:t>n of Astronomical Sciences (NSF/</w:t>
      </w:r>
      <w:r w:rsidR="00856719">
        <w:rPr>
          <w:rFonts w:ascii="Arial" w:eastAsia="Times New Roman" w:hAnsi="Arial" w:cs="Arial"/>
          <w:color w:val="222222"/>
          <w:sz w:val="20"/>
          <w:szCs w:val="20"/>
        </w:rPr>
        <w:t>AST) allocated $43.7</w:t>
      </w:r>
      <w:r w:rsidR="00856719" w:rsidRPr="00856719">
        <w:rPr>
          <w:rFonts w:ascii="Arial" w:eastAsia="Times New Roman" w:hAnsi="Arial" w:cs="Arial"/>
          <w:color w:val="222222"/>
          <w:sz w:val="20"/>
          <w:szCs w:val="20"/>
        </w:rPr>
        <w:t>M to its Astronomy and Astrophysics Grant (AAG) program</w:t>
      </w:r>
      <w:r w:rsidR="00856719">
        <w:rPr>
          <w:rFonts w:ascii="Arial" w:eastAsia="Times New Roman" w:hAnsi="Arial" w:cs="Arial"/>
          <w:color w:val="222222"/>
          <w:sz w:val="20"/>
          <w:szCs w:val="20"/>
        </w:rPr>
        <w:t xml:space="preserve"> in FY2014</w:t>
      </w:r>
      <w:r w:rsidR="00856719" w:rsidRPr="00856719">
        <w:rPr>
          <w:rFonts w:ascii="Arial" w:eastAsia="Times New Roman" w:hAnsi="Arial" w:cs="Arial"/>
          <w:color w:val="222222"/>
          <w:sz w:val="20"/>
          <w:szCs w:val="20"/>
        </w:rPr>
        <w:t xml:space="preserve">, about 17.5% of its total division budget of $239M.  This fraction has held relatively stable over the last 10 years. </w:t>
      </w:r>
      <w:r w:rsidR="009031E8">
        <w:rPr>
          <w:rFonts w:ascii="Arial" w:eastAsia="Times New Roman" w:hAnsi="Arial" w:cs="Arial"/>
          <w:color w:val="222222"/>
          <w:sz w:val="20"/>
          <w:szCs w:val="20"/>
        </w:rPr>
        <w:t xml:space="preserve"> </w:t>
      </w:r>
      <w:r w:rsidR="00856719" w:rsidRPr="00856719">
        <w:rPr>
          <w:rFonts w:ascii="Arial" w:eastAsia="Times New Roman" w:hAnsi="Arial" w:cs="Arial"/>
          <w:color w:val="222222"/>
          <w:sz w:val="20"/>
          <w:szCs w:val="20"/>
        </w:rPr>
        <w:t xml:space="preserve">Also stable is the relative breakdown of </w:t>
      </w:r>
      <w:r w:rsidR="003A514D">
        <w:rPr>
          <w:rFonts w:ascii="Arial" w:eastAsia="Times New Roman" w:hAnsi="Arial" w:cs="Arial"/>
          <w:color w:val="222222"/>
          <w:sz w:val="20"/>
          <w:szCs w:val="20"/>
        </w:rPr>
        <w:t>labor</w:t>
      </w:r>
      <w:r w:rsidR="003A514D" w:rsidRPr="00856719">
        <w:rPr>
          <w:rFonts w:ascii="Arial" w:eastAsia="Times New Roman" w:hAnsi="Arial" w:cs="Arial"/>
          <w:color w:val="222222"/>
          <w:sz w:val="20"/>
          <w:szCs w:val="20"/>
        </w:rPr>
        <w:t xml:space="preserve"> </w:t>
      </w:r>
      <w:r w:rsidR="00856719" w:rsidRPr="00856719">
        <w:rPr>
          <w:rFonts w:ascii="Arial" w:eastAsia="Times New Roman" w:hAnsi="Arial" w:cs="Arial"/>
          <w:color w:val="222222"/>
          <w:sz w:val="20"/>
          <w:szCs w:val="20"/>
        </w:rPr>
        <w:t>(</w:t>
      </w:r>
      <w:r w:rsidR="00961255">
        <w:rPr>
          <w:rFonts w:ascii="Arial" w:eastAsia="Times New Roman" w:hAnsi="Arial" w:cs="Arial"/>
          <w:color w:val="222222"/>
          <w:sz w:val="20"/>
          <w:szCs w:val="20"/>
        </w:rPr>
        <w:t>5</w:t>
      </w:r>
      <w:r w:rsidR="00856719" w:rsidRPr="00856719">
        <w:rPr>
          <w:rFonts w:ascii="Arial" w:eastAsia="Times New Roman" w:hAnsi="Arial" w:cs="Arial"/>
          <w:color w:val="222222"/>
          <w:sz w:val="20"/>
          <w:szCs w:val="20"/>
        </w:rPr>
        <w:t xml:space="preserve">0% of AAG grant allocations) vs. travel, overhead, and equipment.  </w:t>
      </w:r>
      <w:r w:rsidR="009031E8">
        <w:rPr>
          <w:rFonts w:ascii="Arial" w:eastAsia="Times New Roman" w:hAnsi="Arial" w:cs="Arial"/>
          <w:color w:val="222222"/>
          <w:sz w:val="20"/>
          <w:szCs w:val="20"/>
        </w:rPr>
        <w:t xml:space="preserve">While budgets doubled during the 1990s, funds have just barely kept up with inflation on average over the last decade, and are </w:t>
      </w:r>
      <w:r w:rsidR="00856719" w:rsidRPr="00856719">
        <w:rPr>
          <w:rFonts w:ascii="Arial" w:eastAsia="Times New Roman" w:hAnsi="Arial" w:cs="Arial"/>
          <w:color w:val="222222"/>
          <w:sz w:val="20"/>
          <w:szCs w:val="20"/>
        </w:rPr>
        <w:t xml:space="preserve">expected to shrink over the next 5 years as </w:t>
      </w:r>
      <w:r w:rsidR="009031E8">
        <w:rPr>
          <w:rFonts w:ascii="Arial" w:eastAsia="Times New Roman" w:hAnsi="Arial" w:cs="Arial"/>
          <w:color w:val="222222"/>
          <w:sz w:val="20"/>
          <w:szCs w:val="20"/>
        </w:rPr>
        <w:t xml:space="preserve">NSF </w:t>
      </w:r>
      <w:r w:rsidR="009D43DB">
        <w:rPr>
          <w:rFonts w:ascii="Arial" w:eastAsia="Times New Roman" w:hAnsi="Arial" w:cs="Arial"/>
          <w:color w:val="222222"/>
          <w:sz w:val="20"/>
          <w:szCs w:val="20"/>
        </w:rPr>
        <w:t>take</w:t>
      </w:r>
      <w:r w:rsidR="009031E8">
        <w:rPr>
          <w:rFonts w:ascii="Arial" w:eastAsia="Times New Roman" w:hAnsi="Arial" w:cs="Arial"/>
          <w:color w:val="222222"/>
          <w:sz w:val="20"/>
          <w:szCs w:val="20"/>
        </w:rPr>
        <w:t>s</w:t>
      </w:r>
      <w:r w:rsidR="00FD7750">
        <w:rPr>
          <w:rFonts w:ascii="Arial" w:eastAsia="Times New Roman" w:hAnsi="Arial" w:cs="Arial"/>
          <w:color w:val="222222"/>
          <w:sz w:val="20"/>
          <w:szCs w:val="20"/>
        </w:rPr>
        <w:t xml:space="preserve"> on operations costs for </w:t>
      </w:r>
      <w:r w:rsidR="00856719" w:rsidRPr="00856719">
        <w:rPr>
          <w:rFonts w:ascii="Arial" w:eastAsia="Times New Roman" w:hAnsi="Arial" w:cs="Arial"/>
          <w:color w:val="222222"/>
          <w:sz w:val="20"/>
          <w:szCs w:val="20"/>
        </w:rPr>
        <w:t xml:space="preserve">new </w:t>
      </w:r>
      <w:r w:rsidR="00FD7750">
        <w:rPr>
          <w:rFonts w:ascii="Arial" w:eastAsia="Times New Roman" w:hAnsi="Arial" w:cs="Arial"/>
          <w:color w:val="222222"/>
          <w:sz w:val="20"/>
          <w:szCs w:val="20"/>
        </w:rPr>
        <w:t>facilities</w:t>
      </w:r>
      <w:r w:rsidR="00856719" w:rsidRPr="00856719">
        <w:rPr>
          <w:rFonts w:ascii="Arial" w:eastAsia="Times New Roman" w:hAnsi="Arial" w:cs="Arial"/>
          <w:color w:val="222222"/>
          <w:sz w:val="20"/>
          <w:szCs w:val="20"/>
        </w:rPr>
        <w:t xml:space="preserve"> (</w:t>
      </w:r>
      <w:r w:rsidR="00B2157E">
        <w:rPr>
          <w:rFonts w:ascii="Arial" w:eastAsia="Times New Roman" w:hAnsi="Arial" w:cs="Arial"/>
          <w:color w:val="222222"/>
          <w:sz w:val="20"/>
          <w:szCs w:val="20"/>
        </w:rPr>
        <w:t xml:space="preserve">e.g. </w:t>
      </w:r>
      <w:r w:rsidR="00856719" w:rsidRPr="00856719">
        <w:rPr>
          <w:rFonts w:ascii="Arial" w:eastAsia="Times New Roman" w:hAnsi="Arial" w:cs="Arial"/>
          <w:color w:val="222222"/>
          <w:sz w:val="20"/>
          <w:szCs w:val="20"/>
        </w:rPr>
        <w:t>DKIST+LSST) com</w:t>
      </w:r>
      <w:r w:rsidR="00FD7750">
        <w:rPr>
          <w:rFonts w:ascii="Arial" w:eastAsia="Times New Roman" w:hAnsi="Arial" w:cs="Arial"/>
          <w:color w:val="222222"/>
          <w:sz w:val="20"/>
          <w:szCs w:val="20"/>
        </w:rPr>
        <w:t>ing</w:t>
      </w:r>
      <w:r w:rsidR="00856719" w:rsidRPr="00856719">
        <w:rPr>
          <w:rFonts w:ascii="Arial" w:eastAsia="Times New Roman" w:hAnsi="Arial" w:cs="Arial"/>
          <w:color w:val="222222"/>
          <w:sz w:val="20"/>
          <w:szCs w:val="20"/>
        </w:rPr>
        <w:t xml:space="preserve"> online. </w:t>
      </w:r>
      <w:r w:rsidR="003E6A3E">
        <w:rPr>
          <w:rFonts w:ascii="Arial" w:eastAsia="Times New Roman" w:hAnsi="Arial" w:cs="Arial"/>
          <w:color w:val="222222"/>
          <w:sz w:val="20"/>
          <w:szCs w:val="20"/>
        </w:rPr>
        <w:t xml:space="preserve"> </w:t>
      </w:r>
      <w:r w:rsidR="00856719" w:rsidRPr="00856719">
        <w:rPr>
          <w:rFonts w:ascii="Arial" w:eastAsia="Times New Roman" w:hAnsi="Arial" w:cs="Arial"/>
          <w:color w:val="222222"/>
          <w:sz w:val="20"/>
          <w:szCs w:val="20"/>
        </w:rPr>
        <w:t xml:space="preserve">On the other hand, the number of </w:t>
      </w:r>
      <w:r w:rsidR="00B2157E">
        <w:rPr>
          <w:rFonts w:ascii="Arial" w:eastAsia="Times New Roman" w:hAnsi="Arial" w:cs="Arial"/>
          <w:color w:val="222222"/>
          <w:sz w:val="20"/>
          <w:szCs w:val="20"/>
        </w:rPr>
        <w:t xml:space="preserve">AAG </w:t>
      </w:r>
      <w:r w:rsidR="00856719" w:rsidRPr="00856719">
        <w:rPr>
          <w:rFonts w:ascii="Arial" w:eastAsia="Times New Roman" w:hAnsi="Arial" w:cs="Arial"/>
          <w:color w:val="222222"/>
          <w:sz w:val="20"/>
          <w:szCs w:val="20"/>
        </w:rPr>
        <w:t>grant requests to NSF/AST has risen from 238 in 1990 to 732 in 2014, with most of the increase in the last decade</w:t>
      </w:r>
      <w:r w:rsidR="00856719">
        <w:rPr>
          <w:rFonts w:ascii="Arial" w:eastAsia="Times New Roman" w:hAnsi="Arial" w:cs="Arial"/>
          <w:color w:val="222222"/>
          <w:sz w:val="20"/>
          <w:szCs w:val="20"/>
        </w:rPr>
        <w:t xml:space="preserve">. </w:t>
      </w:r>
      <w:r w:rsidR="001E12EB">
        <w:rPr>
          <w:rFonts w:ascii="Arial" w:eastAsia="Times New Roman" w:hAnsi="Arial" w:cs="Arial"/>
          <w:color w:val="222222"/>
          <w:sz w:val="20"/>
          <w:szCs w:val="20"/>
        </w:rPr>
        <w:t xml:space="preserve">As a result, the </w:t>
      </w:r>
      <w:r w:rsidR="001E12EB" w:rsidRPr="001E12EB">
        <w:rPr>
          <w:rFonts w:ascii="Arial" w:eastAsia="Times New Roman" w:hAnsi="Arial" w:cs="Arial"/>
          <w:color w:val="222222"/>
          <w:sz w:val="20"/>
          <w:szCs w:val="20"/>
        </w:rPr>
        <w:t>grant s</w:t>
      </w:r>
      <w:r w:rsidR="001E12EB">
        <w:rPr>
          <w:rFonts w:ascii="Arial" w:eastAsia="Times New Roman" w:hAnsi="Arial" w:cs="Arial"/>
          <w:color w:val="222222"/>
          <w:sz w:val="20"/>
          <w:szCs w:val="20"/>
        </w:rPr>
        <w:t>uccess rate has fallen from 50</w:t>
      </w:r>
      <w:r w:rsidR="001E12EB" w:rsidRPr="001E12EB">
        <w:rPr>
          <w:rFonts w:ascii="Arial" w:eastAsia="Times New Roman" w:hAnsi="Arial" w:cs="Arial"/>
          <w:color w:val="222222"/>
          <w:sz w:val="20"/>
          <w:szCs w:val="20"/>
        </w:rPr>
        <w:t>%</w:t>
      </w:r>
      <w:r w:rsidR="001E12EB">
        <w:rPr>
          <w:rFonts w:ascii="Arial" w:eastAsia="Times New Roman" w:hAnsi="Arial" w:cs="Arial"/>
          <w:color w:val="222222"/>
          <w:sz w:val="20"/>
          <w:szCs w:val="20"/>
        </w:rPr>
        <w:t xml:space="preserve"> in 1990 to close to 15% currently.</w:t>
      </w:r>
      <w:r w:rsidR="00F51580">
        <w:rPr>
          <w:rFonts w:ascii="Arial" w:eastAsia="Times New Roman" w:hAnsi="Arial" w:cs="Arial"/>
          <w:color w:val="222222"/>
          <w:sz w:val="20"/>
          <w:szCs w:val="20"/>
        </w:rPr>
        <w:t xml:space="preserve">  The data from the last decade </w:t>
      </w:r>
      <w:r w:rsidR="003A514D">
        <w:rPr>
          <w:rFonts w:ascii="Arial" w:eastAsia="Times New Roman" w:hAnsi="Arial" w:cs="Arial"/>
          <w:color w:val="222222"/>
          <w:sz w:val="20"/>
          <w:szCs w:val="20"/>
        </w:rPr>
        <w:t xml:space="preserve">are </w:t>
      </w:r>
      <w:r w:rsidR="00F51580">
        <w:rPr>
          <w:rFonts w:ascii="Arial" w:eastAsia="Times New Roman" w:hAnsi="Arial" w:cs="Arial"/>
          <w:color w:val="222222"/>
          <w:sz w:val="20"/>
          <w:szCs w:val="20"/>
        </w:rPr>
        <w:t>shown in Figure 1.  Note that</w:t>
      </w:r>
      <w:r w:rsidR="00121953">
        <w:rPr>
          <w:rFonts w:ascii="Arial" w:eastAsia="Times New Roman" w:hAnsi="Arial" w:cs="Arial"/>
          <w:color w:val="222222"/>
          <w:sz w:val="20"/>
          <w:szCs w:val="20"/>
        </w:rPr>
        <w:t xml:space="preserve"> </w:t>
      </w:r>
      <w:r w:rsidR="00F51580">
        <w:rPr>
          <w:rFonts w:ascii="Arial" w:eastAsia="Times New Roman" w:hAnsi="Arial" w:cs="Arial"/>
          <w:color w:val="222222"/>
          <w:sz w:val="20"/>
          <w:szCs w:val="20"/>
        </w:rPr>
        <w:t>i</w:t>
      </w:r>
      <w:r w:rsidR="00121953">
        <w:rPr>
          <w:rFonts w:ascii="Arial" w:eastAsia="Times New Roman" w:hAnsi="Arial" w:cs="Arial"/>
          <w:color w:val="222222"/>
          <w:sz w:val="20"/>
          <w:szCs w:val="20"/>
        </w:rPr>
        <w:t xml:space="preserve">n the absence of any portfolio readjustment, </w:t>
      </w:r>
      <w:r w:rsidR="002E5677">
        <w:rPr>
          <w:rFonts w:ascii="Arial" w:eastAsia="Times New Roman" w:hAnsi="Arial" w:cs="Arial"/>
          <w:color w:val="222222"/>
          <w:sz w:val="20"/>
          <w:szCs w:val="20"/>
        </w:rPr>
        <w:t xml:space="preserve">and assuming current proposal submission trends and a budget that continues to be flat, </w:t>
      </w:r>
      <w:r w:rsidR="00121953">
        <w:rPr>
          <w:rFonts w:ascii="Arial" w:eastAsia="Times New Roman" w:hAnsi="Arial" w:cs="Arial"/>
          <w:color w:val="222222"/>
          <w:sz w:val="20"/>
          <w:szCs w:val="20"/>
        </w:rPr>
        <w:t>t</w:t>
      </w:r>
      <w:r w:rsidR="0086618B" w:rsidRPr="0086618B">
        <w:rPr>
          <w:rFonts w:ascii="Arial" w:eastAsia="Times New Roman" w:hAnsi="Arial" w:cs="Arial"/>
          <w:color w:val="222222"/>
          <w:sz w:val="20"/>
          <w:szCs w:val="20"/>
        </w:rPr>
        <w:t xml:space="preserve">he proposal success rate </w:t>
      </w:r>
      <w:r w:rsidR="009165EB">
        <w:rPr>
          <w:rFonts w:ascii="Arial" w:eastAsia="Times New Roman" w:hAnsi="Arial" w:cs="Arial"/>
          <w:color w:val="222222"/>
          <w:sz w:val="20"/>
          <w:szCs w:val="20"/>
        </w:rPr>
        <w:t xml:space="preserve">is projected to drop </w:t>
      </w:r>
      <w:r w:rsidR="00121953">
        <w:rPr>
          <w:rFonts w:ascii="Arial" w:eastAsia="Times New Roman" w:hAnsi="Arial" w:cs="Arial"/>
          <w:color w:val="222222"/>
          <w:sz w:val="20"/>
          <w:szCs w:val="20"/>
        </w:rPr>
        <w:t xml:space="preserve">to </w:t>
      </w:r>
      <w:r w:rsidR="0086618B" w:rsidRPr="0086618B">
        <w:rPr>
          <w:rFonts w:ascii="Arial" w:eastAsia="Times New Roman" w:hAnsi="Arial" w:cs="Arial"/>
          <w:color w:val="222222"/>
          <w:sz w:val="20"/>
          <w:szCs w:val="20"/>
        </w:rPr>
        <w:t>~10% in FY19</w:t>
      </w:r>
      <w:r w:rsidR="00121953">
        <w:rPr>
          <w:rFonts w:ascii="Arial" w:eastAsia="Times New Roman" w:hAnsi="Arial" w:cs="Arial"/>
          <w:color w:val="222222"/>
          <w:sz w:val="20"/>
          <w:szCs w:val="20"/>
        </w:rPr>
        <w:t xml:space="preserve">. </w:t>
      </w:r>
      <w:r w:rsidR="009D43DB">
        <w:rPr>
          <w:rFonts w:ascii="Arial" w:eastAsia="Times New Roman" w:hAnsi="Arial" w:cs="Arial"/>
          <w:color w:val="222222"/>
          <w:sz w:val="20"/>
          <w:szCs w:val="20"/>
        </w:rPr>
        <w:t xml:space="preserve"> </w:t>
      </w:r>
      <w:r w:rsidR="006A1F77">
        <w:rPr>
          <w:rFonts w:ascii="Arial" w:eastAsia="Times New Roman" w:hAnsi="Arial" w:cs="Arial"/>
          <w:sz w:val="20"/>
          <w:szCs w:val="20"/>
        </w:rPr>
        <w:t xml:space="preserve">NSF/AST is </w:t>
      </w:r>
      <w:r w:rsidR="003A514D">
        <w:rPr>
          <w:rFonts w:ascii="Arial" w:eastAsia="Times New Roman" w:hAnsi="Arial" w:cs="Arial"/>
          <w:sz w:val="20"/>
          <w:szCs w:val="20"/>
        </w:rPr>
        <w:t xml:space="preserve">presently </w:t>
      </w:r>
      <w:r w:rsidR="006A1F77">
        <w:rPr>
          <w:rFonts w:ascii="Arial" w:eastAsia="Times New Roman" w:hAnsi="Arial" w:cs="Arial"/>
          <w:sz w:val="20"/>
          <w:szCs w:val="20"/>
        </w:rPr>
        <w:t>moving forward rapidly to divest those optical and radio telescopes recommended by the Portfolio Review</w:t>
      </w:r>
      <w:r w:rsidR="00121953">
        <w:rPr>
          <w:rFonts w:ascii="Arial" w:eastAsia="Times New Roman" w:hAnsi="Arial" w:cs="Arial"/>
          <w:color w:val="222222"/>
          <w:sz w:val="20"/>
          <w:szCs w:val="20"/>
        </w:rPr>
        <w:t xml:space="preserve"> </w:t>
      </w:r>
      <w:r w:rsidR="006A1F77">
        <w:rPr>
          <w:rFonts w:ascii="Arial" w:eastAsia="Times New Roman" w:hAnsi="Arial" w:cs="Arial"/>
          <w:color w:val="222222"/>
          <w:sz w:val="20"/>
          <w:szCs w:val="20"/>
        </w:rPr>
        <w:t xml:space="preserve">to prevent this scenario.  </w:t>
      </w:r>
      <w:r w:rsidR="00121953">
        <w:rPr>
          <w:rFonts w:ascii="Arial" w:eastAsia="Times New Roman" w:hAnsi="Arial" w:cs="Arial"/>
          <w:color w:val="222222"/>
          <w:sz w:val="20"/>
          <w:szCs w:val="20"/>
        </w:rPr>
        <w:t xml:space="preserve">If </w:t>
      </w:r>
      <w:r w:rsidR="0086618B">
        <w:rPr>
          <w:rFonts w:ascii="Arial" w:eastAsia="Times New Roman" w:hAnsi="Arial" w:cs="Arial"/>
          <w:color w:val="222222"/>
          <w:sz w:val="20"/>
          <w:szCs w:val="20"/>
        </w:rPr>
        <w:t>divestment</w:t>
      </w:r>
      <w:r w:rsidR="006A1F77">
        <w:rPr>
          <w:rFonts w:ascii="Arial" w:eastAsia="Times New Roman" w:hAnsi="Arial" w:cs="Arial"/>
          <w:color w:val="222222"/>
          <w:sz w:val="20"/>
          <w:szCs w:val="20"/>
        </w:rPr>
        <w:t xml:space="preserve"> </w:t>
      </w:r>
      <w:r w:rsidR="0086618B">
        <w:rPr>
          <w:rFonts w:ascii="Arial" w:eastAsia="Times New Roman" w:hAnsi="Arial" w:cs="Arial"/>
          <w:color w:val="222222"/>
          <w:sz w:val="20"/>
          <w:szCs w:val="20"/>
        </w:rPr>
        <w:t>proceed</w:t>
      </w:r>
      <w:r w:rsidR="006A1F77">
        <w:rPr>
          <w:rFonts w:ascii="Arial" w:eastAsia="Times New Roman" w:hAnsi="Arial" w:cs="Arial"/>
          <w:color w:val="222222"/>
          <w:sz w:val="20"/>
          <w:szCs w:val="20"/>
        </w:rPr>
        <w:t>s</w:t>
      </w:r>
      <w:r w:rsidR="0086618B">
        <w:rPr>
          <w:rFonts w:ascii="Arial" w:eastAsia="Times New Roman" w:hAnsi="Arial" w:cs="Arial"/>
          <w:color w:val="222222"/>
          <w:sz w:val="20"/>
          <w:szCs w:val="20"/>
        </w:rPr>
        <w:t xml:space="preserve"> as </w:t>
      </w:r>
      <w:r w:rsidR="00961255">
        <w:rPr>
          <w:rFonts w:ascii="Arial" w:eastAsia="Times New Roman" w:hAnsi="Arial" w:cs="Arial"/>
          <w:color w:val="222222"/>
          <w:sz w:val="20"/>
          <w:szCs w:val="20"/>
        </w:rPr>
        <w:t>recommended by the Portfolio Review Committee</w:t>
      </w:r>
      <w:r w:rsidR="0086618B">
        <w:rPr>
          <w:rFonts w:ascii="Arial" w:eastAsia="Times New Roman" w:hAnsi="Arial" w:cs="Arial"/>
          <w:color w:val="222222"/>
          <w:sz w:val="20"/>
          <w:szCs w:val="20"/>
        </w:rPr>
        <w:t xml:space="preserve">, if the budget continues to be flat, </w:t>
      </w:r>
      <w:r w:rsidR="00F64ABB">
        <w:rPr>
          <w:rFonts w:ascii="Arial" w:eastAsia="Times New Roman" w:hAnsi="Arial" w:cs="Arial"/>
          <w:color w:val="222222"/>
          <w:sz w:val="20"/>
          <w:szCs w:val="20"/>
        </w:rPr>
        <w:t xml:space="preserve">and </w:t>
      </w:r>
      <w:r w:rsidR="006A1F77">
        <w:rPr>
          <w:rFonts w:ascii="Arial" w:eastAsia="Times New Roman" w:hAnsi="Arial" w:cs="Arial"/>
          <w:color w:val="222222"/>
          <w:sz w:val="20"/>
          <w:szCs w:val="20"/>
        </w:rPr>
        <w:t xml:space="preserve">if </w:t>
      </w:r>
      <w:r w:rsidR="00F64ABB">
        <w:rPr>
          <w:rFonts w:ascii="Arial" w:eastAsia="Times New Roman" w:hAnsi="Arial" w:cs="Arial"/>
          <w:color w:val="222222"/>
          <w:sz w:val="20"/>
          <w:szCs w:val="20"/>
        </w:rPr>
        <w:t>modest trimming of proposal budgets</w:t>
      </w:r>
      <w:r w:rsidR="006A1F77">
        <w:rPr>
          <w:rFonts w:ascii="Arial" w:eastAsia="Times New Roman" w:hAnsi="Arial" w:cs="Arial"/>
          <w:color w:val="222222"/>
          <w:sz w:val="20"/>
          <w:szCs w:val="20"/>
        </w:rPr>
        <w:t xml:space="preserve"> is maintained at the levels practiced by </w:t>
      </w:r>
      <w:r w:rsidR="00C34909">
        <w:rPr>
          <w:rFonts w:ascii="Arial" w:eastAsia="Times New Roman" w:hAnsi="Arial" w:cs="Arial"/>
          <w:color w:val="222222"/>
          <w:sz w:val="20"/>
          <w:szCs w:val="20"/>
        </w:rPr>
        <w:t>NSF/AST in recent years</w:t>
      </w:r>
      <w:r w:rsidR="006A1F77">
        <w:rPr>
          <w:rFonts w:ascii="Arial" w:eastAsia="Times New Roman" w:hAnsi="Arial" w:cs="Arial"/>
          <w:color w:val="222222"/>
          <w:sz w:val="20"/>
          <w:szCs w:val="20"/>
        </w:rPr>
        <w:t>, then s</w:t>
      </w:r>
      <w:r w:rsidR="0086618B">
        <w:rPr>
          <w:rFonts w:ascii="Arial" w:eastAsia="Times New Roman" w:hAnsi="Arial" w:cs="Arial"/>
          <w:color w:val="222222"/>
          <w:sz w:val="20"/>
          <w:szCs w:val="20"/>
        </w:rPr>
        <w:t xml:space="preserve">uccess rates can be stabilized at </w:t>
      </w:r>
      <w:r w:rsidR="005A4848">
        <w:rPr>
          <w:rFonts w:ascii="Arial" w:eastAsia="Times New Roman" w:hAnsi="Arial" w:cs="Arial"/>
          <w:color w:val="222222"/>
          <w:sz w:val="20"/>
          <w:szCs w:val="20"/>
        </w:rPr>
        <w:t xml:space="preserve">no better than </w:t>
      </w:r>
      <w:r w:rsidR="0086618B">
        <w:rPr>
          <w:rFonts w:ascii="Arial" w:eastAsia="Times New Roman" w:hAnsi="Arial" w:cs="Arial"/>
          <w:color w:val="222222"/>
          <w:sz w:val="20"/>
          <w:szCs w:val="20"/>
        </w:rPr>
        <w:t>~15%</w:t>
      </w:r>
      <w:r w:rsidR="006A1F77">
        <w:rPr>
          <w:rFonts w:ascii="Arial" w:eastAsia="Times New Roman" w:hAnsi="Arial" w:cs="Arial"/>
          <w:color w:val="222222"/>
          <w:sz w:val="20"/>
          <w:szCs w:val="20"/>
        </w:rPr>
        <w:t>.</w:t>
      </w:r>
      <w:r w:rsidR="0086618B">
        <w:rPr>
          <w:rFonts w:ascii="Arial" w:eastAsia="Times New Roman" w:hAnsi="Arial" w:cs="Arial"/>
          <w:color w:val="222222"/>
          <w:sz w:val="20"/>
          <w:szCs w:val="20"/>
        </w:rPr>
        <w:t xml:space="preserve"> </w:t>
      </w:r>
      <w:r w:rsidR="002E6B88">
        <w:rPr>
          <w:rFonts w:ascii="Arial" w:eastAsia="Times New Roman" w:hAnsi="Arial" w:cs="Arial"/>
          <w:color w:val="222222"/>
          <w:sz w:val="20"/>
          <w:szCs w:val="20"/>
        </w:rPr>
        <w:t>Note that the NSF</w:t>
      </w:r>
      <w:r w:rsidR="003A514D">
        <w:rPr>
          <w:rFonts w:ascii="Arial" w:eastAsia="Times New Roman" w:hAnsi="Arial" w:cs="Arial"/>
          <w:color w:val="222222"/>
          <w:sz w:val="20"/>
          <w:szCs w:val="20"/>
        </w:rPr>
        <w:t>/</w:t>
      </w:r>
      <w:r w:rsidR="002E6B88">
        <w:rPr>
          <w:rFonts w:ascii="Arial" w:eastAsia="Times New Roman" w:hAnsi="Arial" w:cs="Arial"/>
          <w:color w:val="222222"/>
          <w:sz w:val="20"/>
          <w:szCs w:val="20"/>
        </w:rPr>
        <w:t xml:space="preserve">AST funding rate was </w:t>
      </w:r>
      <w:r w:rsidR="003A514D">
        <w:rPr>
          <w:rFonts w:ascii="Arial" w:eastAsia="Times New Roman" w:hAnsi="Arial" w:cs="Arial"/>
          <w:color w:val="222222"/>
          <w:sz w:val="20"/>
          <w:szCs w:val="20"/>
        </w:rPr>
        <w:t xml:space="preserve">indeed </w:t>
      </w:r>
      <w:r w:rsidR="002E6B88">
        <w:rPr>
          <w:rFonts w:ascii="Arial" w:eastAsia="Times New Roman" w:hAnsi="Arial" w:cs="Arial"/>
          <w:color w:val="222222"/>
          <w:sz w:val="20"/>
          <w:szCs w:val="20"/>
        </w:rPr>
        <w:t>a much healthier 30-35% in the early 2000’s, such that investigator</w:t>
      </w:r>
      <w:r w:rsidR="002E5677">
        <w:rPr>
          <w:rFonts w:ascii="Arial" w:eastAsia="Times New Roman" w:hAnsi="Arial" w:cs="Arial"/>
          <w:color w:val="222222"/>
          <w:sz w:val="20"/>
          <w:szCs w:val="20"/>
        </w:rPr>
        <w:t>s submitting strong (VG to E)</w:t>
      </w:r>
      <w:r w:rsidR="002E6B88">
        <w:rPr>
          <w:rFonts w:ascii="Arial" w:eastAsia="Times New Roman" w:hAnsi="Arial" w:cs="Arial"/>
          <w:color w:val="222222"/>
          <w:sz w:val="20"/>
          <w:szCs w:val="20"/>
        </w:rPr>
        <w:t xml:space="preserve"> </w:t>
      </w:r>
      <w:r w:rsidR="002E5677">
        <w:rPr>
          <w:rFonts w:ascii="Arial" w:eastAsia="Times New Roman" w:hAnsi="Arial" w:cs="Arial"/>
          <w:color w:val="222222"/>
          <w:sz w:val="20"/>
          <w:szCs w:val="20"/>
        </w:rPr>
        <w:t xml:space="preserve">proposals </w:t>
      </w:r>
      <w:r w:rsidR="002E6B88">
        <w:rPr>
          <w:rFonts w:ascii="Arial" w:eastAsia="Times New Roman" w:hAnsi="Arial" w:cs="Arial"/>
          <w:color w:val="222222"/>
          <w:sz w:val="20"/>
          <w:szCs w:val="20"/>
        </w:rPr>
        <w:t>could expect a manageable risk of ~</w:t>
      </w:r>
      <w:r w:rsidR="00B52E89">
        <w:rPr>
          <w:rFonts w:ascii="Arial" w:eastAsia="Times New Roman" w:hAnsi="Arial" w:cs="Arial"/>
          <w:color w:val="222222"/>
          <w:sz w:val="20"/>
          <w:szCs w:val="20"/>
        </w:rPr>
        <w:t>30</w:t>
      </w:r>
      <w:r w:rsidR="002E6B88">
        <w:rPr>
          <w:rFonts w:ascii="Arial" w:eastAsia="Times New Roman" w:hAnsi="Arial" w:cs="Arial"/>
          <w:color w:val="222222"/>
          <w:sz w:val="20"/>
          <w:szCs w:val="20"/>
        </w:rPr>
        <w:t>% of no funding after three attempts</w:t>
      </w:r>
      <w:r w:rsidR="006A1F77">
        <w:rPr>
          <w:rFonts w:ascii="Arial" w:eastAsia="Times New Roman" w:hAnsi="Arial" w:cs="Arial"/>
          <w:color w:val="222222"/>
          <w:sz w:val="20"/>
          <w:szCs w:val="20"/>
        </w:rPr>
        <w:t xml:space="preserve"> as </w:t>
      </w:r>
      <w:r w:rsidR="00F51580">
        <w:rPr>
          <w:rFonts w:ascii="Arial" w:eastAsia="Times New Roman" w:hAnsi="Arial" w:cs="Arial"/>
          <w:color w:val="222222"/>
          <w:sz w:val="20"/>
          <w:szCs w:val="20"/>
        </w:rPr>
        <w:t>s</w:t>
      </w:r>
      <w:r w:rsidR="006A1F77">
        <w:rPr>
          <w:rFonts w:ascii="Arial" w:eastAsia="Times New Roman" w:hAnsi="Arial" w:cs="Arial"/>
          <w:color w:val="222222"/>
          <w:sz w:val="20"/>
          <w:szCs w:val="20"/>
        </w:rPr>
        <w:t>hown in section 2.</w:t>
      </w:r>
    </w:p>
    <w:p w14:paraId="1ACB1158" w14:textId="27FBE5BE" w:rsidR="00E57FA2" w:rsidRDefault="00E57FA2" w:rsidP="00E57FA2">
      <w:pPr>
        <w:shd w:val="clear" w:color="auto" w:fill="FFFFFF"/>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Another example within NSF is the </w:t>
      </w:r>
      <w:r w:rsidRPr="00812B60">
        <w:rPr>
          <w:rFonts w:ascii="Arial" w:eastAsia="Times New Roman" w:hAnsi="Arial" w:cs="Arial"/>
          <w:color w:val="222222"/>
          <w:sz w:val="20"/>
          <w:szCs w:val="20"/>
        </w:rPr>
        <w:t>Particle Astrophys</w:t>
      </w:r>
      <w:r w:rsidR="009D43DB">
        <w:rPr>
          <w:rFonts w:ascii="Arial" w:eastAsia="Times New Roman" w:hAnsi="Arial" w:cs="Arial"/>
          <w:color w:val="222222"/>
          <w:sz w:val="20"/>
          <w:szCs w:val="20"/>
        </w:rPr>
        <w:t xml:space="preserve">ics </w:t>
      </w:r>
      <w:r>
        <w:rPr>
          <w:rFonts w:ascii="Arial" w:eastAsia="Times New Roman" w:hAnsi="Arial" w:cs="Arial"/>
          <w:color w:val="222222"/>
          <w:sz w:val="20"/>
          <w:szCs w:val="20"/>
        </w:rPr>
        <w:t xml:space="preserve">program </w:t>
      </w:r>
      <w:r w:rsidRPr="00812B60">
        <w:rPr>
          <w:rFonts w:ascii="Arial" w:eastAsia="Times New Roman" w:hAnsi="Arial" w:cs="Arial"/>
          <w:color w:val="222222"/>
          <w:sz w:val="20"/>
          <w:szCs w:val="20"/>
        </w:rPr>
        <w:t>in</w:t>
      </w:r>
      <w:r w:rsidR="009D43DB">
        <w:rPr>
          <w:rFonts w:ascii="Arial" w:eastAsia="Times New Roman" w:hAnsi="Arial" w:cs="Arial"/>
          <w:color w:val="222222"/>
          <w:sz w:val="20"/>
          <w:szCs w:val="20"/>
        </w:rPr>
        <w:t xml:space="preserve"> the Division of Physics, a much smaller program </w:t>
      </w:r>
      <w:r>
        <w:rPr>
          <w:rFonts w:ascii="Arial" w:eastAsia="Times New Roman" w:hAnsi="Arial" w:cs="Arial"/>
          <w:color w:val="222222"/>
          <w:sz w:val="20"/>
          <w:szCs w:val="20"/>
        </w:rPr>
        <w:t xml:space="preserve">that </w:t>
      </w:r>
      <w:r w:rsidRPr="00812B60">
        <w:rPr>
          <w:rFonts w:ascii="Arial" w:eastAsia="Times New Roman" w:hAnsi="Arial" w:cs="Arial"/>
          <w:color w:val="222222"/>
          <w:sz w:val="20"/>
          <w:szCs w:val="20"/>
        </w:rPr>
        <w:t xml:space="preserve">studies astronomy and astrophysics with particles: cosmic rays, </w:t>
      </w:r>
      <w:r w:rsidR="006546C5">
        <w:rPr>
          <w:rFonts w:ascii="Arial" w:eastAsia="Times New Roman" w:hAnsi="Arial" w:cs="Arial"/>
          <w:color w:val="222222"/>
          <w:sz w:val="20"/>
          <w:szCs w:val="20"/>
        </w:rPr>
        <w:t xml:space="preserve">high-energy photons, </w:t>
      </w:r>
      <w:r w:rsidRPr="00812B60">
        <w:rPr>
          <w:rFonts w:ascii="Arial" w:eastAsia="Times New Roman" w:hAnsi="Arial" w:cs="Arial"/>
          <w:color w:val="222222"/>
          <w:sz w:val="20"/>
          <w:szCs w:val="20"/>
        </w:rPr>
        <w:t>neutrinos, and dark matter parti</w:t>
      </w:r>
      <w:r w:rsidR="009D43DB">
        <w:rPr>
          <w:rFonts w:ascii="Arial" w:eastAsia="Times New Roman" w:hAnsi="Arial" w:cs="Arial"/>
          <w:color w:val="222222"/>
          <w:sz w:val="20"/>
          <w:szCs w:val="20"/>
        </w:rPr>
        <w:t xml:space="preserve">cles. Over the past decade, their </w:t>
      </w:r>
      <w:r w:rsidRPr="00812B60">
        <w:rPr>
          <w:rFonts w:ascii="Arial" w:eastAsia="Times New Roman" w:hAnsi="Arial" w:cs="Arial"/>
          <w:color w:val="222222"/>
          <w:sz w:val="20"/>
          <w:szCs w:val="20"/>
        </w:rPr>
        <w:t>budget has been</w:t>
      </w:r>
      <w:r w:rsidR="009D43DB">
        <w:rPr>
          <w:rFonts w:ascii="Arial" w:eastAsia="Times New Roman" w:hAnsi="Arial" w:cs="Arial"/>
          <w:color w:val="222222"/>
          <w:sz w:val="20"/>
          <w:szCs w:val="20"/>
        </w:rPr>
        <w:t xml:space="preserve"> a steady percentage of the Physics </w:t>
      </w:r>
      <w:r w:rsidRPr="00812B60">
        <w:rPr>
          <w:rFonts w:ascii="Arial" w:eastAsia="Times New Roman" w:hAnsi="Arial" w:cs="Arial"/>
          <w:color w:val="222222"/>
          <w:sz w:val="20"/>
          <w:szCs w:val="20"/>
        </w:rPr>
        <w:t>budget, around 7%</w:t>
      </w:r>
      <w:r>
        <w:rPr>
          <w:rFonts w:ascii="Arial" w:eastAsia="Times New Roman" w:hAnsi="Arial" w:cs="Arial"/>
          <w:color w:val="222222"/>
          <w:sz w:val="20"/>
          <w:szCs w:val="20"/>
        </w:rPr>
        <w:t>.  While t</w:t>
      </w:r>
      <w:r w:rsidRPr="00840715">
        <w:rPr>
          <w:rFonts w:ascii="Arial" w:eastAsia="Times New Roman" w:hAnsi="Arial" w:cs="Arial"/>
          <w:color w:val="222222"/>
          <w:sz w:val="20"/>
          <w:szCs w:val="20"/>
        </w:rPr>
        <w:t xml:space="preserve">he program is small compared to </w:t>
      </w:r>
      <w:r w:rsidR="009D43DB">
        <w:rPr>
          <w:rFonts w:ascii="Arial" w:eastAsia="Times New Roman" w:hAnsi="Arial" w:cs="Arial"/>
          <w:color w:val="222222"/>
          <w:sz w:val="20"/>
          <w:szCs w:val="20"/>
        </w:rPr>
        <w:t>NSF/</w:t>
      </w:r>
      <w:r w:rsidRPr="00840715">
        <w:rPr>
          <w:rFonts w:ascii="Arial" w:eastAsia="Times New Roman" w:hAnsi="Arial" w:cs="Arial"/>
          <w:color w:val="222222"/>
          <w:sz w:val="20"/>
          <w:szCs w:val="20"/>
        </w:rPr>
        <w:t>AST</w:t>
      </w:r>
      <w:r>
        <w:rPr>
          <w:rFonts w:ascii="Arial" w:eastAsia="Times New Roman" w:hAnsi="Arial" w:cs="Arial"/>
          <w:color w:val="222222"/>
          <w:sz w:val="20"/>
          <w:szCs w:val="20"/>
        </w:rPr>
        <w:t xml:space="preserve">, </w:t>
      </w:r>
      <w:r w:rsidR="008F46AF">
        <w:rPr>
          <w:rFonts w:ascii="Arial" w:eastAsia="Times New Roman" w:hAnsi="Arial" w:cs="Arial"/>
          <w:color w:val="222222"/>
          <w:sz w:val="20"/>
          <w:szCs w:val="20"/>
        </w:rPr>
        <w:t xml:space="preserve">a similar story </w:t>
      </w:r>
      <w:r>
        <w:rPr>
          <w:rFonts w:ascii="Arial" w:eastAsia="Times New Roman" w:hAnsi="Arial" w:cs="Arial"/>
          <w:color w:val="222222"/>
          <w:sz w:val="20"/>
          <w:szCs w:val="20"/>
        </w:rPr>
        <w:t>emerges.</w:t>
      </w:r>
      <w:r w:rsidRPr="00840715">
        <w:rPr>
          <w:rFonts w:ascii="Arial" w:eastAsia="Times New Roman" w:hAnsi="Arial" w:cs="Arial"/>
          <w:color w:val="222222"/>
          <w:sz w:val="20"/>
          <w:szCs w:val="20"/>
        </w:rPr>
        <w:t xml:space="preserve"> </w:t>
      </w:r>
      <w:r w:rsidRPr="00812B60">
        <w:rPr>
          <w:rFonts w:ascii="Arial" w:eastAsia="Times New Roman" w:hAnsi="Arial" w:cs="Arial"/>
          <w:color w:val="222222"/>
          <w:sz w:val="20"/>
          <w:szCs w:val="20"/>
        </w:rPr>
        <w:t xml:space="preserve">From 2005 to 2014 the number of proposals </w:t>
      </w:r>
      <w:r w:rsidR="008B2900">
        <w:rPr>
          <w:rFonts w:ascii="Arial" w:eastAsia="Times New Roman" w:hAnsi="Arial" w:cs="Arial"/>
          <w:color w:val="222222"/>
          <w:sz w:val="20"/>
          <w:szCs w:val="20"/>
        </w:rPr>
        <w:t xml:space="preserve">more than </w:t>
      </w:r>
      <w:r w:rsidRPr="00812B60">
        <w:rPr>
          <w:rFonts w:ascii="Arial" w:eastAsia="Times New Roman" w:hAnsi="Arial" w:cs="Arial"/>
          <w:color w:val="222222"/>
          <w:sz w:val="20"/>
          <w:szCs w:val="20"/>
        </w:rPr>
        <w:t>doubled (from 30 to 70)</w:t>
      </w:r>
      <w:r w:rsidR="005A4848">
        <w:rPr>
          <w:rFonts w:ascii="Arial" w:eastAsia="Times New Roman" w:hAnsi="Arial" w:cs="Arial"/>
          <w:color w:val="222222"/>
          <w:sz w:val="20"/>
          <w:szCs w:val="20"/>
        </w:rPr>
        <w:t>, whereas</w:t>
      </w:r>
      <w:r w:rsidR="005A4848" w:rsidRPr="00812B60">
        <w:rPr>
          <w:rFonts w:ascii="Arial" w:eastAsia="Times New Roman" w:hAnsi="Arial" w:cs="Arial"/>
          <w:color w:val="222222"/>
          <w:sz w:val="20"/>
          <w:szCs w:val="20"/>
        </w:rPr>
        <w:t xml:space="preserve"> </w:t>
      </w:r>
      <w:r w:rsidRPr="00812B60">
        <w:rPr>
          <w:rFonts w:ascii="Arial" w:eastAsia="Times New Roman" w:hAnsi="Arial" w:cs="Arial"/>
          <w:color w:val="222222"/>
          <w:sz w:val="20"/>
          <w:szCs w:val="20"/>
        </w:rPr>
        <w:t xml:space="preserve">funding increased by about 34% in the same period. The average success rate from 2005 to 2007 was 45%, while from 2012 to 2014 the success rate </w:t>
      </w:r>
      <w:r w:rsidR="005A4848">
        <w:rPr>
          <w:rFonts w:ascii="Arial" w:eastAsia="Times New Roman" w:hAnsi="Arial" w:cs="Arial"/>
          <w:color w:val="222222"/>
          <w:sz w:val="20"/>
          <w:szCs w:val="20"/>
        </w:rPr>
        <w:t xml:space="preserve">had </w:t>
      </w:r>
      <w:r w:rsidRPr="00812B60">
        <w:rPr>
          <w:rFonts w:ascii="Arial" w:eastAsia="Times New Roman" w:hAnsi="Arial" w:cs="Arial"/>
          <w:color w:val="222222"/>
          <w:sz w:val="20"/>
          <w:szCs w:val="20"/>
        </w:rPr>
        <w:t xml:space="preserve">decreased to 39%. </w:t>
      </w:r>
    </w:p>
    <w:p w14:paraId="7F121A74" w14:textId="77777777" w:rsidR="006470B7" w:rsidRDefault="006470B7" w:rsidP="00E57FA2">
      <w:pPr>
        <w:shd w:val="clear" w:color="auto" w:fill="FFFFFF"/>
        <w:spacing w:after="0" w:line="240" w:lineRule="auto"/>
        <w:jc w:val="both"/>
        <w:rPr>
          <w:rFonts w:ascii="Arial" w:eastAsia="Times New Roman" w:hAnsi="Arial" w:cs="Arial"/>
          <w:color w:val="222222"/>
          <w:sz w:val="20"/>
          <w:szCs w:val="20"/>
        </w:rPr>
      </w:pPr>
    </w:p>
    <w:p w14:paraId="4FCE83E0" w14:textId="393F8489" w:rsidR="00391347" w:rsidRDefault="006470B7" w:rsidP="00391347">
      <w:pPr>
        <w:shd w:val="clear" w:color="auto" w:fill="FFFFFF"/>
        <w:spacing w:after="0" w:line="240" w:lineRule="auto"/>
        <w:jc w:val="both"/>
        <w:rPr>
          <w:rFonts w:ascii="Arial" w:eastAsia="Times New Roman" w:hAnsi="Arial" w:cs="Arial"/>
          <w:bCs/>
          <w:color w:val="222222"/>
          <w:sz w:val="20"/>
          <w:szCs w:val="20"/>
        </w:rPr>
      </w:pPr>
      <w:r w:rsidRPr="001E12EB">
        <w:rPr>
          <w:rFonts w:ascii="Arial" w:eastAsia="Times New Roman" w:hAnsi="Arial" w:cs="Arial"/>
          <w:color w:val="222222"/>
          <w:sz w:val="20"/>
          <w:szCs w:val="20"/>
        </w:rPr>
        <w:t xml:space="preserve">Over the last decade, the budget for NASA Astrophysics </w:t>
      </w:r>
      <w:r w:rsidR="004E634D" w:rsidRPr="004E634D">
        <w:rPr>
          <w:rFonts w:ascii="Arial" w:eastAsia="Times New Roman" w:hAnsi="Arial" w:cs="Arial"/>
          <w:color w:val="222222"/>
          <w:sz w:val="20"/>
          <w:szCs w:val="20"/>
        </w:rPr>
        <w:t xml:space="preserve">Research Opportunities in Space and Earth Sciences </w:t>
      </w:r>
      <w:r w:rsidR="00134B29">
        <w:rPr>
          <w:rFonts w:ascii="Arial" w:eastAsia="Times New Roman" w:hAnsi="Arial" w:cs="Arial"/>
          <w:color w:val="222222"/>
          <w:sz w:val="20"/>
          <w:szCs w:val="20"/>
        </w:rPr>
        <w:t xml:space="preserve">programs </w:t>
      </w:r>
      <w:r w:rsidR="004F0F89">
        <w:rPr>
          <w:rFonts w:ascii="Arial" w:eastAsia="Times New Roman" w:hAnsi="Arial" w:cs="Arial"/>
          <w:color w:val="222222"/>
          <w:sz w:val="20"/>
          <w:szCs w:val="20"/>
        </w:rPr>
        <w:t>(</w:t>
      </w:r>
      <w:r w:rsidR="00A95EE8">
        <w:rPr>
          <w:rFonts w:ascii="Arial" w:eastAsia="Times New Roman" w:hAnsi="Arial" w:cs="Arial"/>
          <w:color w:val="222222"/>
          <w:sz w:val="20"/>
          <w:szCs w:val="20"/>
        </w:rPr>
        <w:t>APRA, ADAP, ATP, XRP</w:t>
      </w:r>
      <w:r w:rsidR="004F0F89">
        <w:rPr>
          <w:rFonts w:ascii="Arial" w:eastAsia="Times New Roman" w:hAnsi="Arial" w:cs="Arial"/>
          <w:color w:val="222222"/>
          <w:sz w:val="20"/>
          <w:szCs w:val="20"/>
        </w:rPr>
        <w:t xml:space="preserve">, WPS) </w:t>
      </w:r>
      <w:r w:rsidRPr="001E12EB">
        <w:rPr>
          <w:rFonts w:ascii="Arial" w:eastAsia="Times New Roman" w:hAnsi="Arial" w:cs="Arial"/>
          <w:color w:val="222222"/>
          <w:sz w:val="20"/>
          <w:szCs w:val="20"/>
        </w:rPr>
        <w:t xml:space="preserve">has </w:t>
      </w:r>
      <w:r w:rsidR="005A4848">
        <w:rPr>
          <w:rFonts w:ascii="Arial" w:eastAsia="Times New Roman" w:hAnsi="Arial" w:cs="Arial"/>
          <w:color w:val="222222"/>
          <w:sz w:val="20"/>
          <w:szCs w:val="20"/>
        </w:rPr>
        <w:t>risen</w:t>
      </w:r>
      <w:r w:rsidR="005A4848" w:rsidRPr="001E12EB">
        <w:rPr>
          <w:rFonts w:ascii="Arial" w:eastAsia="Times New Roman" w:hAnsi="Arial" w:cs="Arial"/>
          <w:color w:val="222222"/>
          <w:sz w:val="20"/>
          <w:szCs w:val="20"/>
        </w:rPr>
        <w:t xml:space="preserve"> </w:t>
      </w:r>
      <w:r w:rsidRPr="001E12EB">
        <w:rPr>
          <w:rFonts w:ascii="Arial" w:eastAsia="Times New Roman" w:hAnsi="Arial" w:cs="Arial"/>
          <w:color w:val="222222"/>
          <w:sz w:val="20"/>
          <w:szCs w:val="20"/>
        </w:rPr>
        <w:t>slowly from $71M to $80M</w:t>
      </w:r>
      <w:r>
        <w:rPr>
          <w:rFonts w:ascii="Arial" w:eastAsia="Times New Roman" w:hAnsi="Arial" w:cs="Arial"/>
          <w:color w:val="222222"/>
          <w:sz w:val="20"/>
          <w:szCs w:val="20"/>
        </w:rPr>
        <w:t xml:space="preserve">, while </w:t>
      </w:r>
      <w:r w:rsidRPr="001E12EB">
        <w:rPr>
          <w:rFonts w:ascii="Arial" w:eastAsia="Times New Roman" w:hAnsi="Arial" w:cs="Arial"/>
          <w:color w:val="222222"/>
          <w:sz w:val="20"/>
          <w:szCs w:val="20"/>
        </w:rPr>
        <w:t xml:space="preserve">the number of </w:t>
      </w:r>
      <w:r w:rsidR="004F0F89">
        <w:rPr>
          <w:rFonts w:ascii="Arial" w:eastAsia="Times New Roman" w:hAnsi="Arial" w:cs="Arial"/>
          <w:color w:val="222222"/>
          <w:sz w:val="20"/>
          <w:szCs w:val="20"/>
        </w:rPr>
        <w:t xml:space="preserve">submitted </w:t>
      </w:r>
      <w:r w:rsidRPr="001E12EB">
        <w:rPr>
          <w:rFonts w:ascii="Arial" w:eastAsia="Times New Roman" w:hAnsi="Arial" w:cs="Arial"/>
          <w:color w:val="222222"/>
          <w:sz w:val="20"/>
          <w:szCs w:val="20"/>
        </w:rPr>
        <w:t>proposals</w:t>
      </w:r>
      <w:r>
        <w:rPr>
          <w:rFonts w:ascii="Arial" w:eastAsia="Times New Roman" w:hAnsi="Arial" w:cs="Arial"/>
          <w:color w:val="222222"/>
          <w:sz w:val="20"/>
          <w:szCs w:val="20"/>
        </w:rPr>
        <w:t xml:space="preserve"> </w:t>
      </w:r>
      <w:r w:rsidRPr="001E12EB">
        <w:rPr>
          <w:rFonts w:ascii="Arial" w:eastAsia="Times New Roman" w:hAnsi="Arial" w:cs="Arial"/>
          <w:color w:val="222222"/>
          <w:sz w:val="20"/>
          <w:szCs w:val="20"/>
        </w:rPr>
        <w:t>h</w:t>
      </w:r>
      <w:r>
        <w:rPr>
          <w:rFonts w:ascii="Arial" w:eastAsia="Times New Roman" w:hAnsi="Arial" w:cs="Arial"/>
          <w:color w:val="222222"/>
          <w:sz w:val="20"/>
          <w:szCs w:val="20"/>
        </w:rPr>
        <w:t xml:space="preserve">as increased </w:t>
      </w:r>
      <w:r w:rsidR="005A4848">
        <w:rPr>
          <w:rFonts w:ascii="Arial" w:eastAsia="Times New Roman" w:hAnsi="Arial" w:cs="Arial"/>
          <w:color w:val="222222"/>
          <w:sz w:val="20"/>
          <w:szCs w:val="20"/>
        </w:rPr>
        <w:t xml:space="preserve">much </w:t>
      </w:r>
      <w:r>
        <w:rPr>
          <w:rFonts w:ascii="Arial" w:eastAsia="Times New Roman" w:hAnsi="Arial" w:cs="Arial"/>
          <w:color w:val="222222"/>
          <w:sz w:val="20"/>
          <w:szCs w:val="20"/>
        </w:rPr>
        <w:t>more rapidly</w:t>
      </w:r>
      <w:r w:rsidRPr="001E12EB">
        <w:rPr>
          <w:rFonts w:ascii="Arial" w:eastAsia="Times New Roman" w:hAnsi="Arial" w:cs="Arial"/>
          <w:color w:val="222222"/>
          <w:sz w:val="20"/>
          <w:szCs w:val="20"/>
        </w:rPr>
        <w:t xml:space="preserve">, from around 500 in FY04 to around 800 in FY15. With some fluctuations, the number of selected proposals and the funding levels for selected proposals have remained approximately constant, so the success rate for proposals has </w:t>
      </w:r>
      <w:r w:rsidRPr="001E12EB">
        <w:rPr>
          <w:rFonts w:ascii="Arial" w:eastAsia="Times New Roman" w:hAnsi="Arial" w:cs="Arial"/>
          <w:color w:val="222222"/>
          <w:sz w:val="20"/>
          <w:szCs w:val="20"/>
        </w:rPr>
        <w:lastRenderedPageBreak/>
        <w:t>decre</w:t>
      </w:r>
      <w:r w:rsidR="006F1DED">
        <w:rPr>
          <w:rFonts w:ascii="Arial" w:eastAsia="Times New Roman" w:hAnsi="Arial" w:cs="Arial"/>
          <w:color w:val="222222"/>
          <w:sz w:val="20"/>
          <w:szCs w:val="20"/>
        </w:rPr>
        <w:t>ased from ~30% to ~18% over</w:t>
      </w:r>
      <w:r w:rsidRPr="001E12EB">
        <w:rPr>
          <w:rFonts w:ascii="Arial" w:eastAsia="Times New Roman" w:hAnsi="Arial" w:cs="Arial"/>
          <w:color w:val="222222"/>
          <w:sz w:val="20"/>
          <w:szCs w:val="20"/>
        </w:rPr>
        <w:t xml:space="preserve"> the decade.</w:t>
      </w:r>
      <w:r w:rsidR="00A95EE8">
        <w:rPr>
          <w:rStyle w:val="FootnoteReference"/>
          <w:rFonts w:ascii="Arial" w:eastAsia="Times New Roman" w:hAnsi="Arial" w:cs="Arial"/>
          <w:color w:val="222222"/>
          <w:sz w:val="20"/>
          <w:szCs w:val="20"/>
        </w:rPr>
        <w:footnoteReference w:id="4"/>
      </w:r>
      <w:r>
        <w:rPr>
          <w:rFonts w:ascii="Arial" w:eastAsia="Times New Roman" w:hAnsi="Arial" w:cs="Arial"/>
          <w:color w:val="222222"/>
          <w:sz w:val="20"/>
          <w:szCs w:val="20"/>
        </w:rPr>
        <w:t xml:space="preserve">  On a positive note, </w:t>
      </w:r>
      <w:r w:rsidR="005A4848">
        <w:rPr>
          <w:rFonts w:ascii="Arial" w:eastAsia="Times New Roman" w:hAnsi="Arial" w:cs="Arial"/>
          <w:color w:val="222222"/>
          <w:sz w:val="20"/>
          <w:szCs w:val="20"/>
        </w:rPr>
        <w:t>including</w:t>
      </w:r>
      <w:r>
        <w:rPr>
          <w:rFonts w:ascii="Arial" w:eastAsia="Times New Roman" w:hAnsi="Arial" w:cs="Arial"/>
          <w:color w:val="222222"/>
          <w:sz w:val="20"/>
          <w:szCs w:val="20"/>
        </w:rPr>
        <w:t xml:space="preserve"> the </w:t>
      </w:r>
      <w:r w:rsidR="005A4848">
        <w:rPr>
          <w:rFonts w:ascii="Arial" w:eastAsia="Times New Roman" w:hAnsi="Arial" w:cs="Arial"/>
          <w:color w:val="222222"/>
          <w:sz w:val="20"/>
          <w:szCs w:val="20"/>
        </w:rPr>
        <w:t xml:space="preserve">NASA Astrophysics </w:t>
      </w:r>
      <w:r>
        <w:rPr>
          <w:rFonts w:ascii="Arial" w:eastAsia="Times New Roman" w:hAnsi="Arial" w:cs="Arial"/>
          <w:bCs/>
          <w:color w:val="222222"/>
          <w:sz w:val="20"/>
          <w:szCs w:val="20"/>
        </w:rPr>
        <w:t xml:space="preserve">Guest Observer programs increases the overall success rate to closer to 25%.  </w:t>
      </w:r>
    </w:p>
    <w:p w14:paraId="48FE9E9B" w14:textId="77777777" w:rsidR="00391347" w:rsidRDefault="00391347" w:rsidP="00391347">
      <w:pPr>
        <w:shd w:val="clear" w:color="auto" w:fill="FFFFFF"/>
        <w:spacing w:after="0" w:line="240" w:lineRule="auto"/>
        <w:jc w:val="both"/>
        <w:rPr>
          <w:rFonts w:ascii="Arial" w:eastAsia="Times New Roman" w:hAnsi="Arial" w:cs="Arial"/>
          <w:bCs/>
          <w:color w:val="222222"/>
          <w:sz w:val="20"/>
          <w:szCs w:val="20"/>
        </w:rPr>
      </w:pPr>
    </w:p>
    <w:p w14:paraId="28F565AC" w14:textId="52EE8CF3" w:rsidR="00391347" w:rsidRDefault="00391347" w:rsidP="00391347">
      <w:pPr>
        <w:shd w:val="clear" w:color="auto" w:fill="FFFFFF"/>
        <w:spacing w:after="0" w:line="240" w:lineRule="auto"/>
        <w:jc w:val="both"/>
        <w:rPr>
          <w:rFonts w:ascii="Arial" w:eastAsia="Times New Roman" w:hAnsi="Arial" w:cs="Arial"/>
          <w:color w:val="222222"/>
          <w:sz w:val="20"/>
          <w:szCs w:val="20"/>
        </w:rPr>
      </w:pPr>
      <w:r w:rsidRPr="00655958">
        <w:rPr>
          <w:rFonts w:ascii="Arial" w:eastAsia="Times New Roman" w:hAnsi="Arial" w:cs="Arial"/>
          <w:color w:val="222222"/>
          <w:sz w:val="20"/>
          <w:szCs w:val="20"/>
        </w:rPr>
        <w:t xml:space="preserve">The solar and space physics community relies primarily on NASA </w:t>
      </w:r>
      <w:proofErr w:type="spellStart"/>
      <w:r w:rsidRPr="00655958">
        <w:rPr>
          <w:rFonts w:ascii="Arial" w:eastAsia="Times New Roman" w:hAnsi="Arial" w:cs="Arial"/>
          <w:color w:val="222222"/>
          <w:sz w:val="20"/>
          <w:szCs w:val="20"/>
        </w:rPr>
        <w:t>Heliophysics</w:t>
      </w:r>
      <w:proofErr w:type="spellEnd"/>
      <w:r w:rsidRPr="00655958">
        <w:rPr>
          <w:rFonts w:ascii="Arial" w:eastAsia="Times New Roman" w:hAnsi="Arial" w:cs="Arial"/>
          <w:color w:val="222222"/>
          <w:sz w:val="20"/>
          <w:szCs w:val="20"/>
        </w:rPr>
        <w:t xml:space="preserve"> (125 proposals per year) and </w:t>
      </w:r>
      <w:r>
        <w:rPr>
          <w:rFonts w:ascii="Arial" w:eastAsia="Times New Roman" w:hAnsi="Arial" w:cs="Arial"/>
          <w:color w:val="222222"/>
          <w:sz w:val="20"/>
          <w:szCs w:val="20"/>
        </w:rPr>
        <w:t xml:space="preserve">the </w:t>
      </w:r>
      <w:r w:rsidRPr="00655958">
        <w:rPr>
          <w:rFonts w:ascii="Arial" w:eastAsia="Times New Roman" w:hAnsi="Arial" w:cs="Arial"/>
          <w:color w:val="222222"/>
          <w:sz w:val="20"/>
          <w:szCs w:val="20"/>
        </w:rPr>
        <w:t xml:space="preserve">NSF </w:t>
      </w:r>
      <w:r>
        <w:rPr>
          <w:rFonts w:ascii="Arial" w:eastAsia="Times New Roman" w:hAnsi="Arial" w:cs="Arial"/>
          <w:color w:val="222222"/>
          <w:sz w:val="20"/>
          <w:szCs w:val="20"/>
        </w:rPr>
        <w:t xml:space="preserve">Division of </w:t>
      </w:r>
      <w:r w:rsidRPr="00BC1161">
        <w:rPr>
          <w:rFonts w:ascii="Arial" w:eastAsia="Times New Roman" w:hAnsi="Arial" w:cs="Arial"/>
          <w:color w:val="222222"/>
          <w:sz w:val="20"/>
          <w:szCs w:val="20"/>
        </w:rPr>
        <w:t xml:space="preserve">Atmospheric and </w:t>
      </w:r>
      <w:proofErr w:type="spellStart"/>
      <w:r w:rsidRPr="00BC1161">
        <w:rPr>
          <w:rFonts w:ascii="Arial" w:eastAsia="Times New Roman" w:hAnsi="Arial" w:cs="Arial"/>
          <w:color w:val="222222"/>
          <w:sz w:val="20"/>
          <w:szCs w:val="20"/>
        </w:rPr>
        <w:t>Geospace</w:t>
      </w:r>
      <w:proofErr w:type="spellEnd"/>
      <w:r w:rsidRPr="00BC1161">
        <w:rPr>
          <w:rFonts w:ascii="Arial" w:eastAsia="Times New Roman" w:hAnsi="Arial" w:cs="Arial"/>
          <w:color w:val="222222"/>
          <w:sz w:val="20"/>
          <w:szCs w:val="20"/>
        </w:rPr>
        <w:t xml:space="preserve"> Sciences </w:t>
      </w:r>
      <w:r w:rsidRPr="00655958">
        <w:rPr>
          <w:rFonts w:ascii="Arial" w:eastAsia="Times New Roman" w:hAnsi="Arial" w:cs="Arial"/>
          <w:color w:val="222222"/>
          <w:sz w:val="20"/>
          <w:szCs w:val="20"/>
        </w:rPr>
        <w:t xml:space="preserve">(25 proposals per year </w:t>
      </w:r>
      <w:r>
        <w:rPr>
          <w:rFonts w:ascii="Arial" w:eastAsia="Times New Roman" w:hAnsi="Arial" w:cs="Arial"/>
          <w:color w:val="222222"/>
          <w:sz w:val="20"/>
          <w:szCs w:val="20"/>
        </w:rPr>
        <w:t xml:space="preserve">in </w:t>
      </w:r>
      <w:r w:rsidRPr="00655958">
        <w:rPr>
          <w:rFonts w:ascii="Arial" w:eastAsia="Times New Roman" w:hAnsi="Arial" w:cs="Arial"/>
          <w:color w:val="222222"/>
          <w:sz w:val="20"/>
          <w:szCs w:val="20"/>
        </w:rPr>
        <w:t>Solar-T</w:t>
      </w:r>
      <w:r>
        <w:rPr>
          <w:rFonts w:ascii="Arial" w:eastAsia="Times New Roman" w:hAnsi="Arial" w:cs="Arial"/>
          <w:color w:val="222222"/>
          <w:sz w:val="20"/>
          <w:szCs w:val="20"/>
        </w:rPr>
        <w:t xml:space="preserve">errestrial). </w:t>
      </w:r>
      <w:r w:rsidRPr="00655958">
        <w:rPr>
          <w:rFonts w:ascii="Arial" w:eastAsia="Times New Roman" w:hAnsi="Arial" w:cs="Arial"/>
          <w:color w:val="222222"/>
          <w:sz w:val="20"/>
          <w:szCs w:val="20"/>
        </w:rPr>
        <w:t xml:space="preserve">Overall, inflation has steadily eroded the buying power of NASA </w:t>
      </w:r>
      <w:proofErr w:type="spellStart"/>
      <w:r w:rsidRPr="00655958">
        <w:rPr>
          <w:rFonts w:ascii="Arial" w:eastAsia="Times New Roman" w:hAnsi="Arial" w:cs="Arial"/>
          <w:color w:val="222222"/>
          <w:sz w:val="20"/>
          <w:szCs w:val="20"/>
        </w:rPr>
        <w:t>Heliophysics</w:t>
      </w:r>
      <w:proofErr w:type="spellEnd"/>
      <w:r w:rsidRPr="00655958">
        <w:rPr>
          <w:rFonts w:ascii="Arial" w:eastAsia="Times New Roman" w:hAnsi="Arial" w:cs="Arial"/>
          <w:color w:val="222222"/>
          <w:sz w:val="20"/>
          <w:szCs w:val="20"/>
        </w:rPr>
        <w:t xml:space="preserve"> </w:t>
      </w:r>
      <w:r>
        <w:rPr>
          <w:rFonts w:ascii="Arial" w:eastAsia="Times New Roman" w:hAnsi="Arial" w:cs="Arial"/>
          <w:color w:val="222222"/>
          <w:sz w:val="20"/>
          <w:szCs w:val="20"/>
        </w:rPr>
        <w:t>research funding, which</w:t>
      </w:r>
      <w:r w:rsidRPr="00655958">
        <w:rPr>
          <w:rFonts w:ascii="Arial" w:eastAsia="Times New Roman" w:hAnsi="Arial" w:cs="Arial"/>
          <w:color w:val="222222"/>
          <w:sz w:val="20"/>
          <w:szCs w:val="20"/>
        </w:rPr>
        <w:t xml:space="preserve"> has </w:t>
      </w:r>
      <w:r>
        <w:rPr>
          <w:rFonts w:ascii="Arial" w:eastAsia="Times New Roman" w:hAnsi="Arial" w:cs="Arial"/>
          <w:color w:val="222222"/>
          <w:sz w:val="20"/>
          <w:szCs w:val="20"/>
        </w:rPr>
        <w:t>remained</w:t>
      </w:r>
      <w:r w:rsidRPr="00655958">
        <w:rPr>
          <w:rFonts w:ascii="Arial" w:eastAsia="Times New Roman" w:hAnsi="Arial" w:cs="Arial"/>
          <w:color w:val="222222"/>
          <w:sz w:val="20"/>
          <w:szCs w:val="20"/>
        </w:rPr>
        <w:t xml:space="preserve"> essentially constant in real dollars since </w:t>
      </w:r>
      <w:r>
        <w:rPr>
          <w:rFonts w:ascii="Arial" w:eastAsia="Times New Roman" w:hAnsi="Arial" w:cs="Arial"/>
          <w:color w:val="222222"/>
          <w:sz w:val="20"/>
          <w:szCs w:val="20"/>
        </w:rPr>
        <w:t>FY</w:t>
      </w:r>
      <w:r w:rsidRPr="00655958">
        <w:rPr>
          <w:rFonts w:ascii="Arial" w:eastAsia="Times New Roman" w:hAnsi="Arial" w:cs="Arial"/>
          <w:color w:val="222222"/>
          <w:sz w:val="20"/>
          <w:szCs w:val="20"/>
        </w:rPr>
        <w:t>04</w:t>
      </w:r>
      <w:r>
        <w:rPr>
          <w:rFonts w:ascii="Arial" w:eastAsia="Times New Roman" w:hAnsi="Arial" w:cs="Arial"/>
          <w:color w:val="222222"/>
          <w:sz w:val="20"/>
          <w:szCs w:val="20"/>
        </w:rPr>
        <w:t xml:space="preserve">. </w:t>
      </w:r>
      <w:r w:rsidRPr="00655958">
        <w:rPr>
          <w:rFonts w:ascii="Arial" w:eastAsia="Times New Roman" w:hAnsi="Arial" w:cs="Arial"/>
          <w:color w:val="222222"/>
          <w:sz w:val="20"/>
          <w:szCs w:val="20"/>
        </w:rPr>
        <w:t xml:space="preserve">The </w:t>
      </w:r>
      <w:r>
        <w:rPr>
          <w:rFonts w:ascii="Arial" w:eastAsia="Times New Roman" w:hAnsi="Arial" w:cs="Arial"/>
          <w:color w:val="222222"/>
          <w:sz w:val="20"/>
          <w:szCs w:val="20"/>
        </w:rPr>
        <w:t xml:space="preserve">success rate </w:t>
      </w:r>
      <w:r w:rsidRPr="00655958">
        <w:rPr>
          <w:rFonts w:ascii="Arial" w:eastAsia="Times New Roman" w:hAnsi="Arial" w:cs="Arial"/>
          <w:color w:val="222222"/>
          <w:sz w:val="20"/>
          <w:szCs w:val="20"/>
        </w:rPr>
        <w:t>has decreased steadily over the last 8 years, dropping from ~35% to 17%</w:t>
      </w:r>
      <w:r>
        <w:rPr>
          <w:rFonts w:ascii="Arial" w:eastAsia="Times New Roman" w:hAnsi="Arial" w:cs="Arial"/>
          <w:color w:val="222222"/>
          <w:sz w:val="20"/>
          <w:szCs w:val="20"/>
        </w:rPr>
        <w:t xml:space="preserve">. </w:t>
      </w:r>
      <w:r>
        <w:rPr>
          <w:rStyle w:val="FootnoteReference"/>
          <w:rFonts w:ascii="Arial" w:eastAsia="Times New Roman" w:hAnsi="Arial" w:cs="Arial"/>
          <w:color w:val="222222"/>
          <w:sz w:val="20"/>
          <w:szCs w:val="20"/>
        </w:rPr>
        <w:footnoteReference w:id="5"/>
      </w:r>
      <w:r>
        <w:rPr>
          <w:rFonts w:ascii="Arial" w:eastAsia="Times New Roman" w:hAnsi="Arial" w:cs="Arial"/>
          <w:color w:val="222222"/>
          <w:sz w:val="20"/>
          <w:szCs w:val="20"/>
        </w:rPr>
        <w:t xml:space="preserve">  The same story is generally true for </w:t>
      </w:r>
      <w:r w:rsidRPr="00BC1161">
        <w:rPr>
          <w:rFonts w:ascii="Arial" w:eastAsia="Times New Roman" w:hAnsi="Arial" w:cs="Arial"/>
          <w:color w:val="222222"/>
          <w:sz w:val="20"/>
          <w:szCs w:val="20"/>
        </w:rPr>
        <w:t>NASA's Planetary Science Division</w:t>
      </w:r>
      <w:r>
        <w:rPr>
          <w:rFonts w:ascii="Arial" w:eastAsia="Times New Roman" w:hAnsi="Arial" w:cs="Arial"/>
          <w:color w:val="222222"/>
          <w:sz w:val="20"/>
          <w:szCs w:val="20"/>
        </w:rPr>
        <w:t xml:space="preserve">.  The total </w:t>
      </w:r>
      <w:proofErr w:type="gramStart"/>
      <w:r>
        <w:rPr>
          <w:rFonts w:ascii="Arial" w:eastAsia="Times New Roman" w:hAnsi="Arial" w:cs="Arial"/>
          <w:color w:val="222222"/>
          <w:sz w:val="20"/>
          <w:szCs w:val="20"/>
        </w:rPr>
        <w:t>Planetary</w:t>
      </w:r>
      <w:proofErr w:type="gramEnd"/>
      <w:r>
        <w:rPr>
          <w:rFonts w:ascii="Arial" w:eastAsia="Times New Roman" w:hAnsi="Arial" w:cs="Arial"/>
          <w:color w:val="222222"/>
          <w:sz w:val="20"/>
          <w:szCs w:val="20"/>
        </w:rPr>
        <w:t xml:space="preserve"> budget</w:t>
      </w:r>
      <w:r w:rsidR="00B00D46">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00B00D46">
        <w:rPr>
          <w:rFonts w:ascii="Arial" w:eastAsia="Times New Roman" w:hAnsi="Arial" w:cs="Arial"/>
          <w:color w:val="222222"/>
          <w:sz w:val="20"/>
          <w:szCs w:val="20"/>
        </w:rPr>
        <w:t xml:space="preserve">adjusted for inflation and set to constant 2014 dollars, </w:t>
      </w:r>
      <w:r w:rsidRPr="00BC1161">
        <w:rPr>
          <w:rFonts w:ascii="Arial" w:eastAsia="Times New Roman" w:hAnsi="Arial" w:cs="Arial"/>
          <w:color w:val="222222"/>
          <w:sz w:val="20"/>
          <w:szCs w:val="20"/>
        </w:rPr>
        <w:t xml:space="preserve">dropped from $1,731M </w:t>
      </w:r>
      <w:r>
        <w:rPr>
          <w:rFonts w:ascii="Arial" w:eastAsia="Times New Roman" w:hAnsi="Arial" w:cs="Arial"/>
          <w:color w:val="222222"/>
          <w:sz w:val="20"/>
          <w:szCs w:val="20"/>
        </w:rPr>
        <w:t>(</w:t>
      </w:r>
      <w:r w:rsidRPr="00BC1161">
        <w:rPr>
          <w:rFonts w:ascii="Arial" w:eastAsia="Times New Roman" w:hAnsi="Arial" w:cs="Arial"/>
          <w:color w:val="222222"/>
          <w:sz w:val="20"/>
          <w:szCs w:val="20"/>
        </w:rPr>
        <w:t>2004</w:t>
      </w:r>
      <w:r>
        <w:rPr>
          <w:rFonts w:ascii="Arial" w:eastAsia="Times New Roman" w:hAnsi="Arial" w:cs="Arial"/>
          <w:color w:val="222222"/>
          <w:sz w:val="20"/>
          <w:szCs w:val="20"/>
        </w:rPr>
        <w:t>) to $1,380M (</w:t>
      </w:r>
      <w:r w:rsidRPr="00BC1161">
        <w:rPr>
          <w:rFonts w:ascii="Arial" w:eastAsia="Times New Roman" w:hAnsi="Arial" w:cs="Arial"/>
          <w:color w:val="222222"/>
          <w:sz w:val="20"/>
          <w:szCs w:val="20"/>
        </w:rPr>
        <w:t>2015</w:t>
      </w:r>
      <w:r>
        <w:rPr>
          <w:rFonts w:ascii="Arial" w:eastAsia="Times New Roman" w:hAnsi="Arial" w:cs="Arial"/>
          <w:color w:val="222222"/>
          <w:sz w:val="20"/>
          <w:szCs w:val="20"/>
        </w:rPr>
        <w:t>)</w:t>
      </w:r>
      <w:r w:rsidRPr="00BC1161">
        <w:rPr>
          <w:rFonts w:ascii="Arial" w:eastAsia="Times New Roman" w:hAnsi="Arial" w:cs="Arial"/>
          <w:color w:val="222222"/>
          <w:sz w:val="20"/>
          <w:szCs w:val="20"/>
        </w:rPr>
        <w:t>, with most of the drop occu</w:t>
      </w:r>
      <w:r>
        <w:rPr>
          <w:rFonts w:ascii="Arial" w:eastAsia="Times New Roman" w:hAnsi="Arial" w:cs="Arial"/>
          <w:color w:val="222222"/>
          <w:sz w:val="20"/>
          <w:szCs w:val="20"/>
        </w:rPr>
        <w:t xml:space="preserve">rring around FY13.  Since 2004 </w:t>
      </w:r>
      <w:r w:rsidRPr="00BC1161">
        <w:rPr>
          <w:rFonts w:ascii="Arial" w:eastAsia="Times New Roman" w:hAnsi="Arial" w:cs="Arial"/>
          <w:color w:val="222222"/>
          <w:sz w:val="20"/>
          <w:szCs w:val="20"/>
        </w:rPr>
        <w:t xml:space="preserve">the percent of </w:t>
      </w:r>
      <w:proofErr w:type="gramStart"/>
      <w:r>
        <w:rPr>
          <w:rFonts w:ascii="Arial" w:eastAsia="Times New Roman" w:hAnsi="Arial" w:cs="Arial"/>
          <w:color w:val="222222"/>
          <w:sz w:val="20"/>
          <w:szCs w:val="20"/>
        </w:rPr>
        <w:t>Planetary</w:t>
      </w:r>
      <w:proofErr w:type="gramEnd"/>
      <w:r>
        <w:rPr>
          <w:rFonts w:ascii="Arial" w:eastAsia="Times New Roman" w:hAnsi="Arial" w:cs="Arial"/>
          <w:color w:val="222222"/>
          <w:sz w:val="20"/>
          <w:szCs w:val="20"/>
        </w:rPr>
        <w:t xml:space="preserve"> </w:t>
      </w:r>
      <w:r w:rsidRPr="00BC1161">
        <w:rPr>
          <w:rFonts w:ascii="Arial" w:eastAsia="Times New Roman" w:hAnsi="Arial" w:cs="Arial"/>
          <w:color w:val="222222"/>
          <w:sz w:val="20"/>
          <w:szCs w:val="20"/>
        </w:rPr>
        <w:t>proposals accepted dropp</w:t>
      </w:r>
      <w:r>
        <w:rPr>
          <w:rFonts w:ascii="Arial" w:eastAsia="Times New Roman" w:hAnsi="Arial" w:cs="Arial"/>
          <w:color w:val="222222"/>
          <w:sz w:val="20"/>
          <w:szCs w:val="20"/>
        </w:rPr>
        <w:t>ed from above 30% to below 20%.</w:t>
      </w:r>
    </w:p>
    <w:p w14:paraId="744D6167" w14:textId="77777777" w:rsidR="00391347" w:rsidRPr="00812B60" w:rsidRDefault="00391347" w:rsidP="00391347">
      <w:pPr>
        <w:shd w:val="clear" w:color="auto" w:fill="FFFFFF"/>
        <w:spacing w:after="0" w:line="240" w:lineRule="auto"/>
        <w:jc w:val="both"/>
        <w:rPr>
          <w:rFonts w:ascii="Arial" w:eastAsia="Times New Roman" w:hAnsi="Arial" w:cs="Arial"/>
          <w:color w:val="222222"/>
          <w:sz w:val="20"/>
          <w:szCs w:val="20"/>
        </w:rPr>
      </w:pPr>
    </w:p>
    <w:p w14:paraId="4B68428B" w14:textId="71F8FA24" w:rsidR="00603E75" w:rsidRPr="00603E75" w:rsidRDefault="00603E75" w:rsidP="0020142F">
      <w:pPr>
        <w:shd w:val="clear" w:color="auto" w:fill="FFFFFF"/>
        <w:spacing w:after="0" w:line="240" w:lineRule="auto"/>
        <w:jc w:val="both"/>
        <w:rPr>
          <w:rFonts w:ascii="Arial" w:eastAsia="Times New Roman" w:hAnsi="Arial" w:cs="Arial"/>
          <w:bCs/>
          <w:color w:val="222222"/>
          <w:sz w:val="20"/>
          <w:szCs w:val="20"/>
        </w:rPr>
      </w:pPr>
    </w:p>
    <w:p w14:paraId="79CDB059" w14:textId="2838FF09" w:rsidR="00603E75" w:rsidRDefault="00603E75" w:rsidP="0020142F">
      <w:pPr>
        <w:shd w:val="clear" w:color="auto" w:fill="FFFFFF"/>
        <w:spacing w:after="0" w:line="240" w:lineRule="auto"/>
        <w:jc w:val="both"/>
        <w:rPr>
          <w:rFonts w:ascii="Arial" w:eastAsia="Times New Roman" w:hAnsi="Arial" w:cs="Arial"/>
          <w:i/>
          <w:color w:val="222222"/>
          <w:sz w:val="20"/>
          <w:szCs w:val="20"/>
        </w:rPr>
      </w:pPr>
      <w:r>
        <w:rPr>
          <w:rFonts w:ascii="Arial" w:eastAsia="Times New Roman" w:hAnsi="Arial" w:cs="Arial"/>
          <w:i/>
          <w:noProof/>
          <w:color w:val="222222"/>
          <w:sz w:val="20"/>
          <w:szCs w:val="20"/>
        </w:rPr>
        <w:drawing>
          <wp:inline distT="0" distB="0" distL="0" distR="0" wp14:anchorId="2D9CBA76" wp14:editId="76F6E612">
            <wp:extent cx="5952538" cy="422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ASTBestPix.pdf"/>
                    <pic:cNvPicPr/>
                  </pic:nvPicPr>
                  <pic:blipFill>
                    <a:blip r:embed="rId9">
                      <a:extLst>
                        <a:ext uri="{28A0092B-C50C-407E-A947-70E740481C1C}">
                          <a14:useLocalDpi xmlns:a14="http://schemas.microsoft.com/office/drawing/2010/main" val="0"/>
                        </a:ext>
                      </a:extLst>
                    </a:blip>
                    <a:stretch>
                      <a:fillRect/>
                    </a:stretch>
                  </pic:blipFill>
                  <pic:spPr>
                    <a:xfrm>
                      <a:off x="0" y="0"/>
                      <a:ext cx="5952643" cy="4229175"/>
                    </a:xfrm>
                    <a:prstGeom prst="rect">
                      <a:avLst/>
                    </a:prstGeom>
                  </pic:spPr>
                </pic:pic>
              </a:graphicData>
            </a:graphic>
          </wp:inline>
        </w:drawing>
      </w:r>
    </w:p>
    <w:p w14:paraId="14A04908" w14:textId="77777777" w:rsidR="007A5536" w:rsidRDefault="007A5536" w:rsidP="0020142F">
      <w:pPr>
        <w:shd w:val="clear" w:color="auto" w:fill="FFFFFF"/>
        <w:spacing w:after="0" w:line="240" w:lineRule="auto"/>
        <w:jc w:val="both"/>
        <w:rPr>
          <w:rFonts w:ascii="Arial" w:eastAsia="Times New Roman" w:hAnsi="Arial" w:cs="Arial"/>
          <w:i/>
          <w:color w:val="222222"/>
          <w:sz w:val="20"/>
          <w:szCs w:val="20"/>
        </w:rPr>
      </w:pPr>
    </w:p>
    <w:p w14:paraId="71BB3B50" w14:textId="49047B14" w:rsidR="00603E75" w:rsidRDefault="00603E75" w:rsidP="00603E75">
      <w:pPr>
        <w:shd w:val="clear" w:color="auto" w:fill="FFFFFF"/>
        <w:spacing w:after="0" w:line="240" w:lineRule="auto"/>
        <w:jc w:val="both"/>
        <w:rPr>
          <w:rFonts w:ascii="Arial" w:eastAsia="Times New Roman" w:hAnsi="Arial" w:cs="Arial"/>
          <w:i/>
          <w:color w:val="222222"/>
          <w:sz w:val="20"/>
          <w:szCs w:val="20"/>
        </w:rPr>
      </w:pPr>
      <w:r w:rsidRPr="002844B3">
        <w:rPr>
          <w:rFonts w:ascii="Arial" w:eastAsia="Times New Roman" w:hAnsi="Arial" w:cs="Arial"/>
          <w:b/>
          <w:i/>
          <w:color w:val="222222"/>
          <w:sz w:val="20"/>
          <w:szCs w:val="20"/>
        </w:rPr>
        <w:t>Figure 1.</w:t>
      </w:r>
      <w:r>
        <w:rPr>
          <w:rFonts w:ascii="Arial" w:eastAsia="Times New Roman" w:hAnsi="Arial" w:cs="Arial"/>
          <w:i/>
          <w:color w:val="222222"/>
          <w:sz w:val="20"/>
          <w:szCs w:val="20"/>
        </w:rPr>
        <w:t xml:space="preserve"> </w:t>
      </w:r>
      <w:proofErr w:type="gramStart"/>
      <w:r>
        <w:rPr>
          <w:rFonts w:ascii="Arial" w:eastAsia="Times New Roman" w:hAnsi="Arial" w:cs="Arial"/>
          <w:i/>
          <w:color w:val="222222"/>
          <w:sz w:val="20"/>
          <w:szCs w:val="20"/>
        </w:rPr>
        <w:t>Historical</w:t>
      </w:r>
      <w:r w:rsidRPr="00507F1F">
        <w:rPr>
          <w:rFonts w:ascii="Arial" w:eastAsia="Times New Roman" w:hAnsi="Arial" w:cs="Arial"/>
          <w:i/>
          <w:color w:val="222222"/>
          <w:sz w:val="20"/>
          <w:szCs w:val="20"/>
        </w:rPr>
        <w:t xml:space="preserve"> NSF/</w:t>
      </w:r>
      <w:r>
        <w:rPr>
          <w:rFonts w:ascii="Arial" w:eastAsia="Times New Roman" w:hAnsi="Arial" w:cs="Arial"/>
          <w:i/>
          <w:color w:val="222222"/>
          <w:sz w:val="20"/>
          <w:szCs w:val="20"/>
        </w:rPr>
        <w:t>AST (AAG) proposal success rate</w:t>
      </w:r>
      <w:r>
        <w:rPr>
          <w:rStyle w:val="FootnoteReference"/>
          <w:rFonts w:ascii="Arial" w:eastAsia="Times New Roman" w:hAnsi="Arial" w:cs="Arial"/>
          <w:i/>
          <w:color w:val="222222"/>
          <w:sz w:val="20"/>
          <w:szCs w:val="20"/>
        </w:rPr>
        <w:footnoteReference w:id="6"/>
      </w:r>
      <w:r w:rsidRPr="00507F1F">
        <w:rPr>
          <w:rFonts w:ascii="Arial" w:eastAsia="Times New Roman" w:hAnsi="Arial" w:cs="Arial"/>
          <w:i/>
          <w:color w:val="222222"/>
          <w:sz w:val="20"/>
          <w:szCs w:val="20"/>
        </w:rPr>
        <w:t xml:space="preserve"> </w:t>
      </w:r>
      <w:r>
        <w:rPr>
          <w:rFonts w:ascii="Arial" w:eastAsia="Times New Roman" w:hAnsi="Arial" w:cs="Arial"/>
          <w:i/>
          <w:color w:val="222222"/>
          <w:sz w:val="20"/>
          <w:szCs w:val="20"/>
        </w:rPr>
        <w:t>through 2014.</w:t>
      </w:r>
      <w:proofErr w:type="gramEnd"/>
      <w:r>
        <w:rPr>
          <w:rFonts w:ascii="Arial" w:eastAsia="Times New Roman" w:hAnsi="Arial" w:cs="Arial"/>
          <w:i/>
          <w:color w:val="222222"/>
          <w:sz w:val="20"/>
          <w:szCs w:val="20"/>
        </w:rPr>
        <w:t xml:space="preserve">  The anomalous spike in FY09 is due to the one-time stimulus provided by the American Recovery and R</w:t>
      </w:r>
      <w:r w:rsidRPr="00113401">
        <w:rPr>
          <w:rFonts w:ascii="Arial" w:eastAsia="Times New Roman" w:hAnsi="Arial" w:cs="Arial"/>
          <w:i/>
          <w:color w:val="222222"/>
          <w:sz w:val="20"/>
          <w:szCs w:val="20"/>
        </w:rPr>
        <w:t>einvestment</w:t>
      </w:r>
      <w:r>
        <w:rPr>
          <w:rFonts w:ascii="Arial" w:eastAsia="Times New Roman" w:hAnsi="Arial" w:cs="Arial"/>
          <w:i/>
          <w:color w:val="222222"/>
          <w:sz w:val="20"/>
          <w:szCs w:val="20"/>
        </w:rPr>
        <w:t xml:space="preserve"> Act.</w:t>
      </w:r>
    </w:p>
    <w:p w14:paraId="78336A11" w14:textId="77777777" w:rsidR="00737AB8" w:rsidRDefault="00737AB8" w:rsidP="00B91BAE">
      <w:pPr>
        <w:keepNext/>
        <w:shd w:val="clear" w:color="auto" w:fill="FFFFFF"/>
        <w:spacing w:before="240" w:after="120" w:line="240" w:lineRule="auto"/>
        <w:rPr>
          <w:rFonts w:ascii="Arial" w:eastAsia="Times New Roman" w:hAnsi="Arial" w:cs="Arial"/>
          <w:color w:val="222222"/>
          <w:sz w:val="20"/>
          <w:szCs w:val="20"/>
        </w:rPr>
      </w:pPr>
    </w:p>
    <w:p w14:paraId="72ABC4BB" w14:textId="1B48BC2D" w:rsidR="007A5536" w:rsidRPr="003921E7" w:rsidRDefault="006470B7" w:rsidP="00B91BAE">
      <w:pPr>
        <w:keepNext/>
        <w:shd w:val="clear" w:color="auto" w:fill="FFFFFF"/>
        <w:spacing w:before="240" w:after="120" w:line="240" w:lineRule="auto"/>
        <w:rPr>
          <w:rFonts w:ascii="Arial" w:eastAsia="Times New Roman" w:hAnsi="Arial" w:cs="Arial"/>
          <w:b/>
          <w:i/>
          <w:color w:val="222222"/>
          <w:sz w:val="20"/>
          <w:szCs w:val="20"/>
        </w:rPr>
      </w:pPr>
      <w:proofErr w:type="gramStart"/>
      <w:r>
        <w:rPr>
          <w:rFonts w:ascii="Arial" w:eastAsia="Times New Roman" w:hAnsi="Arial" w:cs="Arial"/>
          <w:b/>
          <w:i/>
          <w:color w:val="222222"/>
          <w:sz w:val="20"/>
          <w:szCs w:val="20"/>
        </w:rPr>
        <w:t>2</w:t>
      </w:r>
      <w:r w:rsidR="00BB0A3C" w:rsidRPr="003921E7">
        <w:rPr>
          <w:rFonts w:ascii="Arial" w:eastAsia="Times New Roman" w:hAnsi="Arial" w:cs="Arial"/>
          <w:b/>
          <w:i/>
          <w:color w:val="222222"/>
          <w:sz w:val="20"/>
          <w:szCs w:val="20"/>
        </w:rPr>
        <w:t>.2  Proposal</w:t>
      </w:r>
      <w:proofErr w:type="gramEnd"/>
      <w:r w:rsidR="00BB0A3C" w:rsidRPr="003921E7">
        <w:rPr>
          <w:rFonts w:ascii="Arial" w:eastAsia="Times New Roman" w:hAnsi="Arial" w:cs="Arial"/>
          <w:b/>
          <w:i/>
          <w:color w:val="222222"/>
          <w:sz w:val="20"/>
          <w:szCs w:val="20"/>
        </w:rPr>
        <w:t xml:space="preserve"> </w:t>
      </w:r>
      <w:r w:rsidR="00B91BAE" w:rsidRPr="003921E7">
        <w:rPr>
          <w:rFonts w:ascii="Arial" w:eastAsia="Times New Roman" w:hAnsi="Arial" w:cs="Arial"/>
          <w:b/>
          <w:i/>
          <w:color w:val="222222"/>
          <w:sz w:val="20"/>
          <w:szCs w:val="20"/>
        </w:rPr>
        <w:t>quality</w:t>
      </w:r>
    </w:p>
    <w:p w14:paraId="4426CC05" w14:textId="03129F76" w:rsidR="00CF420F" w:rsidRDefault="009D43DB" w:rsidP="00E57FA2">
      <w:pPr>
        <w:keepNext/>
        <w:shd w:val="clear" w:color="auto" w:fill="FFFFFF"/>
        <w:spacing w:before="240" w:after="120" w:line="240" w:lineRule="auto"/>
        <w:rPr>
          <w:rFonts w:ascii="Arial" w:eastAsia="Times New Roman" w:hAnsi="Arial" w:cs="Arial"/>
          <w:color w:val="222222"/>
          <w:sz w:val="20"/>
          <w:szCs w:val="20"/>
        </w:rPr>
      </w:pPr>
      <w:r>
        <w:rPr>
          <w:rFonts w:ascii="Arial" w:eastAsia="Times New Roman" w:hAnsi="Arial" w:cs="Arial"/>
          <w:color w:val="222222"/>
          <w:sz w:val="20"/>
          <w:szCs w:val="20"/>
        </w:rPr>
        <w:t>NASA Astrophysics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has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tracked</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scores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for</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many</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years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and</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has</w:t>
      </w:r>
      <w:r w:rsidR="00371B35">
        <w:rPr>
          <w:rFonts w:ascii="Arial" w:eastAsia="Times New Roman" w:hAnsi="Arial" w:cs="Arial"/>
          <w:color w:val="222222"/>
          <w:sz w:val="20"/>
          <w:szCs w:val="20"/>
        </w:rPr>
        <w:t xml:space="preserve"> </w:t>
      </w:r>
      <w:r w:rsidR="00302638">
        <w:rPr>
          <w:rFonts w:ascii="Arial" w:eastAsia="Times New Roman" w:hAnsi="Arial" w:cs="Arial"/>
          <w:color w:val="222222"/>
          <w:sz w:val="20"/>
          <w:szCs w:val="20"/>
        </w:rPr>
        <w:t xml:space="preserve">reasonable </w:t>
      </w:r>
      <w:r w:rsidR="00371B35" w:rsidRPr="00371B35">
        <w:rPr>
          <w:rFonts w:ascii="Arial" w:eastAsia="Times New Roman" w:hAnsi="Arial" w:cs="Arial"/>
          <w:color w:val="222222"/>
          <w:sz w:val="20"/>
          <w:szCs w:val="20"/>
        </w:rPr>
        <w:t>confidence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in</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the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stability</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of</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the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scale.</w:t>
      </w:r>
      <w:r w:rsidR="00371B35">
        <w:rPr>
          <w:rFonts w:ascii="Arial" w:eastAsia="Times New Roman" w:hAnsi="Arial" w:cs="Arial"/>
          <w:color w:val="222222"/>
          <w:sz w:val="20"/>
          <w:szCs w:val="20"/>
        </w:rPr>
        <w:t xml:space="preserve"> </w:t>
      </w:r>
      <w:r w:rsidR="00D63674">
        <w:rPr>
          <w:rFonts w:ascii="Arial" w:eastAsia="Times New Roman" w:hAnsi="Arial" w:cs="Arial"/>
          <w:color w:val="222222"/>
          <w:sz w:val="20"/>
          <w:szCs w:val="20"/>
        </w:rPr>
        <w:t>Using NASA</w:t>
      </w:r>
      <w:r w:rsidR="00371B35">
        <w:rPr>
          <w:rFonts w:ascii="Arial" w:eastAsia="Times New Roman" w:hAnsi="Arial" w:cs="Arial"/>
          <w:color w:val="222222"/>
          <w:sz w:val="20"/>
          <w:szCs w:val="20"/>
        </w:rPr>
        <w:t xml:space="preserve"> </w:t>
      </w:r>
      <w:r w:rsidR="00302638">
        <w:rPr>
          <w:rFonts w:ascii="Arial" w:eastAsia="Times New Roman" w:hAnsi="Arial" w:cs="Arial"/>
          <w:color w:val="222222"/>
          <w:sz w:val="20"/>
          <w:szCs w:val="20"/>
        </w:rPr>
        <w:t xml:space="preserve">proposal </w:t>
      </w:r>
      <w:r w:rsidR="00371B35" w:rsidRPr="00371B35">
        <w:rPr>
          <w:rFonts w:ascii="Arial" w:eastAsia="Times New Roman" w:hAnsi="Arial" w:cs="Arial"/>
          <w:color w:val="222222"/>
          <w:sz w:val="20"/>
          <w:szCs w:val="20"/>
        </w:rPr>
        <w:t>selection</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data</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from</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all</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Science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Mission</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Directorate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ROSES</w:t>
      </w:r>
      <w:r w:rsidR="00371B35">
        <w:rPr>
          <w:rFonts w:ascii="Arial" w:eastAsia="Times New Roman" w:hAnsi="Arial" w:cs="Arial"/>
          <w:color w:val="222222"/>
          <w:sz w:val="20"/>
          <w:szCs w:val="20"/>
        </w:rPr>
        <w:t xml:space="preserve"> programs</w:t>
      </w:r>
      <w:r w:rsidR="00956C7E">
        <w:rPr>
          <w:rStyle w:val="FootnoteReference"/>
          <w:rFonts w:ascii="Arial" w:eastAsia="Times New Roman" w:hAnsi="Arial" w:cs="Arial"/>
          <w:color w:val="222222"/>
          <w:sz w:val="20"/>
          <w:szCs w:val="20"/>
        </w:rPr>
        <w:footnoteReference w:id="7"/>
      </w:r>
      <w:r w:rsidR="00D63674">
        <w:rPr>
          <w:rFonts w:ascii="Arial" w:eastAsia="Times New Roman" w:hAnsi="Arial" w:cs="Arial"/>
          <w:color w:val="222222"/>
          <w:sz w:val="20"/>
          <w:szCs w:val="20"/>
        </w:rPr>
        <w:t xml:space="preserve"> from 2007 to 201</w:t>
      </w:r>
      <w:r w:rsidR="00DB2F62">
        <w:rPr>
          <w:rFonts w:ascii="Arial" w:eastAsia="Times New Roman" w:hAnsi="Arial" w:cs="Arial"/>
          <w:color w:val="222222"/>
          <w:sz w:val="20"/>
          <w:szCs w:val="20"/>
        </w:rPr>
        <w:t>2</w:t>
      </w:r>
      <w:r w:rsidR="00371B35" w:rsidRPr="00371B35">
        <w:rPr>
          <w:rFonts w:ascii="Arial" w:eastAsia="Times New Roman" w:hAnsi="Arial" w:cs="Arial"/>
          <w:color w:val="222222"/>
          <w:sz w:val="20"/>
          <w:szCs w:val="20"/>
        </w:rPr>
        <w:t>,</w:t>
      </w:r>
      <w:r w:rsidR="00371B35">
        <w:rPr>
          <w:rFonts w:ascii="Arial" w:eastAsia="Times New Roman" w:hAnsi="Arial" w:cs="Arial"/>
          <w:color w:val="222222"/>
          <w:sz w:val="20"/>
          <w:szCs w:val="20"/>
        </w:rPr>
        <w:t xml:space="preserve"> </w:t>
      </w:r>
      <w:r w:rsidR="00506B53">
        <w:rPr>
          <w:rFonts w:ascii="Arial" w:eastAsia="Times New Roman" w:hAnsi="Arial" w:cs="Arial"/>
          <w:color w:val="222222"/>
          <w:sz w:val="20"/>
          <w:szCs w:val="20"/>
        </w:rPr>
        <w:t xml:space="preserve">we see </w:t>
      </w:r>
      <w:r w:rsidR="00371B35" w:rsidRPr="00371B35">
        <w:rPr>
          <w:rFonts w:ascii="Arial" w:eastAsia="Times New Roman" w:hAnsi="Arial" w:cs="Arial"/>
          <w:color w:val="222222"/>
          <w:sz w:val="20"/>
          <w:szCs w:val="20"/>
        </w:rPr>
        <w:t>a</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pattern</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emerge.</w:t>
      </w:r>
      <w:r w:rsidR="00371B35">
        <w:rPr>
          <w:rFonts w:ascii="Arial" w:eastAsia="Times New Roman" w:hAnsi="Arial" w:cs="Arial"/>
          <w:color w:val="222222"/>
          <w:sz w:val="20"/>
          <w:szCs w:val="20"/>
        </w:rPr>
        <w:t xml:space="preserve"> </w:t>
      </w:r>
      <w:r w:rsidR="00C87C8A">
        <w:rPr>
          <w:rFonts w:ascii="Arial" w:eastAsia="Times New Roman" w:hAnsi="Arial" w:cs="Arial"/>
          <w:color w:val="222222"/>
          <w:sz w:val="20"/>
          <w:szCs w:val="20"/>
        </w:rPr>
        <w:t xml:space="preserve"> The </w:t>
      </w:r>
      <w:r w:rsidR="00D63674">
        <w:rPr>
          <w:rFonts w:ascii="Arial" w:eastAsia="Times New Roman" w:hAnsi="Arial" w:cs="Arial"/>
          <w:color w:val="222222"/>
          <w:sz w:val="20"/>
          <w:szCs w:val="20"/>
        </w:rPr>
        <w:t xml:space="preserve">proportion of </w:t>
      </w:r>
      <w:r w:rsidR="00C87C8A">
        <w:rPr>
          <w:rFonts w:ascii="Arial" w:eastAsia="Times New Roman" w:hAnsi="Arial" w:cs="Arial"/>
          <w:color w:val="222222"/>
          <w:sz w:val="20"/>
          <w:szCs w:val="20"/>
        </w:rPr>
        <w:t xml:space="preserve">all </w:t>
      </w:r>
      <w:r w:rsidR="00D63674">
        <w:rPr>
          <w:rFonts w:ascii="Arial" w:eastAsia="Times New Roman" w:hAnsi="Arial" w:cs="Arial"/>
          <w:color w:val="222222"/>
          <w:sz w:val="20"/>
          <w:szCs w:val="20"/>
        </w:rPr>
        <w:t xml:space="preserve">submitted proposals that are rated Very Good to Excellent </w:t>
      </w:r>
      <w:r w:rsidR="00C87C8A">
        <w:rPr>
          <w:rFonts w:ascii="Arial" w:eastAsia="Times New Roman" w:hAnsi="Arial" w:cs="Arial"/>
          <w:color w:val="222222"/>
          <w:sz w:val="20"/>
          <w:szCs w:val="20"/>
        </w:rPr>
        <w:t xml:space="preserve"> (VG, VG/E, E) </w:t>
      </w:r>
      <w:r w:rsidR="00D63674">
        <w:rPr>
          <w:rFonts w:ascii="Arial" w:eastAsia="Times New Roman" w:hAnsi="Arial" w:cs="Arial"/>
          <w:color w:val="222222"/>
          <w:sz w:val="20"/>
          <w:szCs w:val="20"/>
        </w:rPr>
        <w:t xml:space="preserve">is roughly constant, with some evidence for at most a ~10% decrease. </w:t>
      </w:r>
      <w:r w:rsidR="00C87C8A">
        <w:rPr>
          <w:rFonts w:ascii="Arial" w:eastAsia="Times New Roman" w:hAnsi="Arial" w:cs="Arial"/>
          <w:color w:val="222222"/>
          <w:sz w:val="20"/>
          <w:szCs w:val="20"/>
        </w:rPr>
        <w:t xml:space="preserve"> Also stable across </w:t>
      </w:r>
      <w:r w:rsidR="00C87C8A" w:rsidRPr="00371B35">
        <w:rPr>
          <w:rFonts w:ascii="Arial" w:eastAsia="Times New Roman" w:hAnsi="Arial" w:cs="Arial"/>
          <w:color w:val="222222"/>
          <w:sz w:val="20"/>
          <w:szCs w:val="20"/>
        </w:rPr>
        <w:t>all</w:t>
      </w:r>
      <w:r w:rsidR="00C87C8A">
        <w:rPr>
          <w:rFonts w:ascii="Arial" w:eastAsia="Times New Roman" w:hAnsi="Arial" w:cs="Arial"/>
          <w:color w:val="222222"/>
          <w:sz w:val="20"/>
          <w:szCs w:val="20"/>
        </w:rPr>
        <w:t xml:space="preserve"> </w:t>
      </w:r>
      <w:r w:rsidR="00C87C8A" w:rsidRPr="00371B35">
        <w:rPr>
          <w:rFonts w:ascii="Arial" w:eastAsia="Times New Roman" w:hAnsi="Arial" w:cs="Arial"/>
          <w:color w:val="222222"/>
          <w:sz w:val="20"/>
          <w:szCs w:val="20"/>
        </w:rPr>
        <w:t>programs</w:t>
      </w:r>
      <w:r w:rsidR="00C87C8A">
        <w:rPr>
          <w:rFonts w:ascii="Arial" w:eastAsia="Times New Roman" w:hAnsi="Arial" w:cs="Arial"/>
          <w:color w:val="222222"/>
          <w:sz w:val="20"/>
          <w:szCs w:val="20"/>
        </w:rPr>
        <w:t xml:space="preserve"> are the </w:t>
      </w:r>
      <w:r w:rsidR="00371B35" w:rsidRPr="00371B35">
        <w:rPr>
          <w:rFonts w:ascii="Arial" w:eastAsia="Times New Roman" w:hAnsi="Arial" w:cs="Arial"/>
          <w:color w:val="222222"/>
          <w:sz w:val="20"/>
          <w:szCs w:val="20"/>
        </w:rPr>
        <w:t>success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rate</w:t>
      </w:r>
      <w:r w:rsidR="006F1DED">
        <w:rPr>
          <w:rFonts w:ascii="Arial" w:eastAsia="Times New Roman" w:hAnsi="Arial" w:cs="Arial"/>
          <w:color w:val="222222"/>
          <w:sz w:val="20"/>
          <w:szCs w:val="20"/>
        </w:rPr>
        <w:t>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for</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VG/E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and</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at</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&gt;75%</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and</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&gt;90%</w:t>
      </w:r>
      <w:r w:rsidR="00C87C8A">
        <w:rPr>
          <w:rFonts w:ascii="Arial" w:eastAsia="Times New Roman" w:hAnsi="Arial" w:cs="Arial"/>
          <w:color w:val="222222"/>
          <w:sz w:val="20"/>
          <w:szCs w:val="20"/>
        </w:rPr>
        <w:t>,</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respectively</w:t>
      </w:r>
      <w:r w:rsidR="00C87C8A">
        <w:rPr>
          <w:rFonts w:ascii="Arial" w:eastAsia="Times New Roman" w:hAnsi="Arial" w:cs="Arial"/>
          <w:color w:val="222222"/>
          <w:sz w:val="20"/>
          <w:szCs w:val="20"/>
        </w:rPr>
        <w:t xml:space="preserve">.  However, </w:t>
      </w:r>
      <w:r w:rsidR="00371B35" w:rsidRPr="00371B35">
        <w:rPr>
          <w:rFonts w:ascii="Arial" w:eastAsia="Times New Roman" w:hAnsi="Arial" w:cs="Arial"/>
          <w:color w:val="222222"/>
          <w:sz w:val="20"/>
          <w:szCs w:val="20"/>
        </w:rPr>
        <w:t>the</w:t>
      </w:r>
      <w:r w:rsidR="00371B35">
        <w:rPr>
          <w:rFonts w:ascii="Arial" w:eastAsia="Times New Roman" w:hAnsi="Arial" w:cs="Arial"/>
          <w:color w:val="222222"/>
          <w:sz w:val="20"/>
          <w:szCs w:val="20"/>
        </w:rPr>
        <w:t xml:space="preserve"> </w:t>
      </w:r>
      <w:r w:rsidR="00933FFB">
        <w:rPr>
          <w:rFonts w:ascii="Arial" w:eastAsia="Times New Roman" w:hAnsi="Arial" w:cs="Arial"/>
          <w:color w:val="222222"/>
          <w:sz w:val="20"/>
          <w:szCs w:val="20"/>
        </w:rPr>
        <w:t xml:space="preserve">success rate </w:t>
      </w:r>
      <w:r w:rsidR="00371B35" w:rsidRPr="00371B35">
        <w:rPr>
          <w:rFonts w:ascii="Arial" w:eastAsia="Times New Roman" w:hAnsi="Arial" w:cs="Arial"/>
          <w:color w:val="222222"/>
          <w:sz w:val="20"/>
          <w:szCs w:val="20"/>
        </w:rPr>
        <w:t>of</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proposals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in</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the</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VG</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category</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is</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rapidly</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falling</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from</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45%</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in</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2007</w:t>
      </w:r>
      <w:r w:rsidR="00371B35">
        <w:rPr>
          <w:rFonts w:ascii="Arial" w:eastAsia="Times New Roman" w:hAnsi="Arial" w:cs="Arial"/>
          <w:color w:val="222222"/>
          <w:sz w:val="20"/>
          <w:szCs w:val="20"/>
        </w:rPr>
        <w:t>-</w:t>
      </w:r>
      <w:r w:rsidR="00371B35" w:rsidRPr="00371B35">
        <w:rPr>
          <w:rFonts w:ascii="Arial" w:eastAsia="Times New Roman" w:hAnsi="Arial" w:cs="Arial"/>
          <w:color w:val="222222"/>
          <w:sz w:val="20"/>
          <w:szCs w:val="20"/>
        </w:rPr>
        <w:t>2008</w:t>
      </w:r>
      <w:r w:rsidR="00112812">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to</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25%</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in</w:t>
      </w:r>
      <w:r w:rsidR="00371B35">
        <w:rPr>
          <w:rFonts w:ascii="Arial" w:eastAsia="Times New Roman" w:hAnsi="Arial" w:cs="Arial"/>
          <w:color w:val="222222"/>
          <w:sz w:val="20"/>
          <w:szCs w:val="20"/>
        </w:rPr>
        <w:t xml:space="preserve"> </w:t>
      </w:r>
      <w:r w:rsidR="00371B35" w:rsidRPr="00371B35">
        <w:rPr>
          <w:rFonts w:ascii="Arial" w:eastAsia="Times New Roman" w:hAnsi="Arial" w:cs="Arial"/>
          <w:color w:val="222222"/>
          <w:sz w:val="20"/>
          <w:szCs w:val="20"/>
        </w:rPr>
        <w:t>2012.</w:t>
      </w:r>
      <w:r w:rsidR="00186C39">
        <w:t xml:space="preserve"> Thus, </w:t>
      </w:r>
      <w:r w:rsidR="00E54741">
        <w:t>while the quality of submitted proposals remains high,</w:t>
      </w:r>
      <w:r w:rsidR="00186C39" w:rsidRPr="00186C39">
        <w:rPr>
          <w:rFonts w:ascii="Arial" w:eastAsia="Times New Roman" w:hAnsi="Arial" w:cs="Arial"/>
          <w:color w:val="222222"/>
          <w:sz w:val="20"/>
          <w:szCs w:val="20"/>
        </w:rPr>
        <w:t xml:space="preserve"> </w:t>
      </w:r>
      <w:r w:rsidR="009D7BCA">
        <w:rPr>
          <w:rFonts w:ascii="Arial" w:eastAsia="Times New Roman" w:hAnsi="Arial" w:cs="Arial"/>
          <w:color w:val="222222"/>
          <w:sz w:val="20"/>
          <w:szCs w:val="20"/>
        </w:rPr>
        <w:t>a greatly increasing fraction of</w:t>
      </w:r>
      <w:r w:rsidR="00186C39" w:rsidRPr="00186C39">
        <w:rPr>
          <w:rFonts w:ascii="Arial" w:eastAsia="Times New Roman" w:hAnsi="Arial" w:cs="Arial"/>
          <w:color w:val="222222"/>
          <w:sz w:val="20"/>
          <w:szCs w:val="20"/>
        </w:rPr>
        <w:t xml:space="preserve"> </w:t>
      </w:r>
      <w:r w:rsidR="00E54741">
        <w:rPr>
          <w:rFonts w:ascii="Arial" w:eastAsia="Times New Roman" w:hAnsi="Arial" w:cs="Arial"/>
          <w:color w:val="222222"/>
          <w:sz w:val="20"/>
          <w:szCs w:val="20"/>
        </w:rPr>
        <w:t xml:space="preserve">meritorious </w:t>
      </w:r>
      <w:r w:rsidR="00186C39" w:rsidRPr="00186C39">
        <w:rPr>
          <w:rFonts w:ascii="Arial" w:eastAsia="Times New Roman" w:hAnsi="Arial" w:cs="Arial"/>
          <w:color w:val="222222"/>
          <w:sz w:val="20"/>
          <w:szCs w:val="20"/>
        </w:rPr>
        <w:t>proposals can no longer be funded.</w:t>
      </w:r>
    </w:p>
    <w:p w14:paraId="42A72D7A" w14:textId="36BC1B65" w:rsidR="007A5536" w:rsidRPr="003921E7" w:rsidRDefault="006470B7" w:rsidP="00B91BAE">
      <w:pPr>
        <w:keepNext/>
        <w:shd w:val="clear" w:color="auto" w:fill="FFFFFF"/>
        <w:spacing w:before="240" w:after="120" w:line="240" w:lineRule="auto"/>
        <w:rPr>
          <w:rFonts w:ascii="Arial" w:eastAsia="Times New Roman" w:hAnsi="Arial" w:cs="Arial"/>
          <w:b/>
          <w:i/>
          <w:color w:val="222222"/>
          <w:sz w:val="20"/>
          <w:szCs w:val="20"/>
        </w:rPr>
      </w:pPr>
      <w:proofErr w:type="gramStart"/>
      <w:r>
        <w:rPr>
          <w:rFonts w:ascii="Arial" w:eastAsia="Times New Roman" w:hAnsi="Arial" w:cs="Arial"/>
          <w:b/>
          <w:i/>
          <w:color w:val="222222"/>
          <w:sz w:val="20"/>
          <w:szCs w:val="20"/>
        </w:rPr>
        <w:t>2</w:t>
      </w:r>
      <w:r w:rsidR="00B91BAE" w:rsidRPr="003921E7">
        <w:rPr>
          <w:rFonts w:ascii="Arial" w:eastAsia="Times New Roman" w:hAnsi="Arial" w:cs="Arial"/>
          <w:b/>
          <w:i/>
          <w:color w:val="222222"/>
          <w:sz w:val="20"/>
          <w:szCs w:val="20"/>
        </w:rPr>
        <w:t>.</w:t>
      </w:r>
      <w:r w:rsidR="00FC581C" w:rsidRPr="003921E7">
        <w:rPr>
          <w:rFonts w:ascii="Arial" w:eastAsia="Times New Roman" w:hAnsi="Arial" w:cs="Arial"/>
          <w:b/>
          <w:i/>
          <w:color w:val="222222"/>
          <w:sz w:val="20"/>
          <w:szCs w:val="20"/>
        </w:rPr>
        <w:t>3</w:t>
      </w:r>
      <w:r w:rsidR="00B91BAE" w:rsidRPr="003921E7">
        <w:rPr>
          <w:rFonts w:ascii="Arial" w:eastAsia="Times New Roman" w:hAnsi="Arial" w:cs="Arial"/>
          <w:b/>
          <w:i/>
          <w:color w:val="222222"/>
          <w:sz w:val="20"/>
          <w:szCs w:val="20"/>
        </w:rPr>
        <w:t xml:space="preserve">  </w:t>
      </w:r>
      <w:r w:rsidR="00A201FD" w:rsidRPr="003921E7">
        <w:rPr>
          <w:rFonts w:ascii="Arial" w:eastAsia="Times New Roman" w:hAnsi="Arial" w:cs="Arial"/>
          <w:b/>
          <w:i/>
          <w:color w:val="222222"/>
          <w:sz w:val="20"/>
          <w:szCs w:val="20"/>
        </w:rPr>
        <w:t>Proposer</w:t>
      </w:r>
      <w:proofErr w:type="gramEnd"/>
      <w:r w:rsidR="00A201FD" w:rsidRPr="003921E7">
        <w:rPr>
          <w:rFonts w:ascii="Arial" w:eastAsia="Times New Roman" w:hAnsi="Arial" w:cs="Arial"/>
          <w:b/>
          <w:i/>
          <w:color w:val="222222"/>
          <w:sz w:val="20"/>
          <w:szCs w:val="20"/>
        </w:rPr>
        <w:t xml:space="preserve"> demographics </w:t>
      </w:r>
    </w:p>
    <w:p w14:paraId="4C966CB1" w14:textId="47791EA4" w:rsidR="00391347" w:rsidRPr="005A7549" w:rsidRDefault="005A7549" w:rsidP="00E57FA2">
      <w:pPr>
        <w:keepNext/>
        <w:shd w:val="clear" w:color="auto" w:fill="FFFFFF"/>
        <w:spacing w:before="240" w:after="120" w:line="240" w:lineRule="auto"/>
        <w:rPr>
          <w:rFonts w:ascii="Arial" w:eastAsia="Times New Roman" w:hAnsi="Arial" w:cs="Arial"/>
          <w:color w:val="222222"/>
          <w:sz w:val="20"/>
          <w:szCs w:val="20"/>
        </w:rPr>
      </w:pPr>
      <w:r w:rsidRPr="005A7549">
        <w:rPr>
          <w:rFonts w:ascii="Arial" w:eastAsia="Times New Roman" w:hAnsi="Arial" w:cs="Arial"/>
          <w:color w:val="222222"/>
          <w:sz w:val="20"/>
          <w:szCs w:val="20"/>
        </w:rPr>
        <w:t xml:space="preserve">NSF </w:t>
      </w:r>
      <w:r w:rsidR="00F56803">
        <w:rPr>
          <w:rFonts w:ascii="Arial" w:eastAsia="Times New Roman" w:hAnsi="Arial" w:cs="Arial"/>
          <w:color w:val="222222"/>
          <w:sz w:val="20"/>
          <w:szCs w:val="20"/>
        </w:rPr>
        <w:t xml:space="preserve">data </w:t>
      </w:r>
      <w:r w:rsidR="004215FF">
        <w:rPr>
          <w:rFonts w:ascii="Arial" w:eastAsia="Times New Roman" w:hAnsi="Arial" w:cs="Arial"/>
          <w:color w:val="222222"/>
          <w:sz w:val="20"/>
          <w:szCs w:val="20"/>
        </w:rPr>
        <w:t xml:space="preserve">from the Astronomy and Astrophysics Grants (AAG) program </w:t>
      </w:r>
      <w:r w:rsidR="00F56803">
        <w:rPr>
          <w:rFonts w:ascii="Arial" w:eastAsia="Times New Roman" w:hAnsi="Arial" w:cs="Arial"/>
          <w:color w:val="222222"/>
          <w:sz w:val="20"/>
          <w:szCs w:val="20"/>
        </w:rPr>
        <w:t>show</w:t>
      </w:r>
      <w:r w:rsidRPr="005A7549">
        <w:rPr>
          <w:rFonts w:ascii="Arial" w:eastAsia="Times New Roman" w:hAnsi="Arial" w:cs="Arial"/>
          <w:color w:val="222222"/>
          <w:sz w:val="20"/>
          <w:szCs w:val="20"/>
        </w:rPr>
        <w:t xml:space="preserve"> that the rise in proposals is driven largely by an increase in the number of investigators</w:t>
      </w:r>
      <w:r w:rsidR="00AF4A6A">
        <w:rPr>
          <w:rFonts w:ascii="Arial" w:eastAsia="Times New Roman" w:hAnsi="Arial" w:cs="Arial"/>
          <w:color w:val="222222"/>
          <w:sz w:val="20"/>
          <w:szCs w:val="20"/>
        </w:rPr>
        <w:t xml:space="preserve"> </w:t>
      </w:r>
      <w:r w:rsidR="00750779">
        <w:rPr>
          <w:rFonts w:ascii="Arial" w:eastAsia="Times New Roman" w:hAnsi="Arial" w:cs="Arial"/>
          <w:color w:val="222222"/>
          <w:sz w:val="20"/>
          <w:szCs w:val="20"/>
        </w:rPr>
        <w:t>participating</w:t>
      </w:r>
      <w:r w:rsidR="00AF4A6A">
        <w:rPr>
          <w:rFonts w:ascii="Arial" w:eastAsia="Times New Roman" w:hAnsi="Arial" w:cs="Arial"/>
          <w:color w:val="222222"/>
          <w:sz w:val="20"/>
          <w:szCs w:val="20"/>
        </w:rPr>
        <w:t xml:space="preserve"> in a given year</w:t>
      </w:r>
      <w:r w:rsidRPr="005A7549">
        <w:rPr>
          <w:rFonts w:ascii="Arial" w:eastAsia="Times New Roman" w:hAnsi="Arial" w:cs="Arial"/>
          <w:color w:val="222222"/>
          <w:sz w:val="20"/>
          <w:szCs w:val="20"/>
        </w:rPr>
        <w:t>, each</w:t>
      </w:r>
      <w:r w:rsidR="00F56803">
        <w:rPr>
          <w:rFonts w:ascii="Arial" w:eastAsia="Times New Roman" w:hAnsi="Arial" w:cs="Arial"/>
          <w:color w:val="222222"/>
          <w:sz w:val="20"/>
          <w:szCs w:val="20"/>
        </w:rPr>
        <w:t xml:space="preserve"> submitting on average one proposal. </w:t>
      </w:r>
      <w:r w:rsidRPr="005A7549">
        <w:rPr>
          <w:rFonts w:ascii="Arial" w:eastAsia="Times New Roman" w:hAnsi="Arial" w:cs="Arial"/>
          <w:color w:val="222222"/>
          <w:sz w:val="20"/>
          <w:szCs w:val="20"/>
        </w:rPr>
        <w:t xml:space="preserve">The proportion of individuals submitting two or more proposals has experienced </w:t>
      </w:r>
      <w:r w:rsidR="00506B53">
        <w:rPr>
          <w:rFonts w:ascii="Arial" w:eastAsia="Times New Roman" w:hAnsi="Arial" w:cs="Arial"/>
          <w:color w:val="222222"/>
          <w:sz w:val="20"/>
          <w:szCs w:val="20"/>
        </w:rPr>
        <w:t xml:space="preserve">only </w:t>
      </w:r>
      <w:r>
        <w:rPr>
          <w:rFonts w:ascii="Arial" w:eastAsia="Times New Roman" w:hAnsi="Arial" w:cs="Arial"/>
          <w:color w:val="222222"/>
          <w:sz w:val="20"/>
          <w:szCs w:val="20"/>
        </w:rPr>
        <w:t>a modest rise</w:t>
      </w:r>
      <w:r w:rsidR="00786386">
        <w:rPr>
          <w:rFonts w:ascii="Arial" w:eastAsia="Times New Roman" w:hAnsi="Arial" w:cs="Arial"/>
          <w:color w:val="222222"/>
          <w:sz w:val="20"/>
          <w:szCs w:val="20"/>
        </w:rPr>
        <w:t>,</w:t>
      </w:r>
      <w:r>
        <w:rPr>
          <w:rFonts w:ascii="Arial" w:eastAsia="Times New Roman" w:hAnsi="Arial" w:cs="Arial"/>
          <w:color w:val="222222"/>
          <w:sz w:val="20"/>
          <w:szCs w:val="20"/>
        </w:rPr>
        <w:t xml:space="preserve"> from 16% to 21%. </w:t>
      </w:r>
      <w:r w:rsidR="00CB6559">
        <w:rPr>
          <w:rFonts w:ascii="Arial" w:eastAsia="Times New Roman" w:hAnsi="Arial" w:cs="Arial"/>
          <w:color w:val="222222"/>
          <w:sz w:val="20"/>
          <w:szCs w:val="20"/>
        </w:rPr>
        <w:t>Data from NASA do</w:t>
      </w:r>
      <w:r w:rsidRPr="005A7549">
        <w:rPr>
          <w:rFonts w:ascii="Arial" w:eastAsia="Times New Roman" w:hAnsi="Arial" w:cs="Arial"/>
          <w:color w:val="222222"/>
          <w:sz w:val="20"/>
          <w:szCs w:val="20"/>
        </w:rPr>
        <w:t xml:space="preserve"> not have as straightforward a breakdow</w:t>
      </w:r>
      <w:r>
        <w:rPr>
          <w:rFonts w:ascii="Arial" w:eastAsia="Times New Roman" w:hAnsi="Arial" w:cs="Arial"/>
          <w:color w:val="222222"/>
          <w:sz w:val="20"/>
          <w:szCs w:val="20"/>
        </w:rPr>
        <w:t xml:space="preserve">n, but the same story emerges. </w:t>
      </w:r>
      <w:r w:rsidRPr="005A7549">
        <w:rPr>
          <w:rFonts w:ascii="Arial" w:eastAsia="Times New Roman" w:hAnsi="Arial" w:cs="Arial"/>
          <w:color w:val="222222"/>
          <w:sz w:val="20"/>
          <w:szCs w:val="20"/>
        </w:rPr>
        <w:t xml:space="preserve">For example, for NASA Astrophysics </w:t>
      </w:r>
      <w:r w:rsidR="00CB6559">
        <w:rPr>
          <w:rFonts w:ascii="Arial" w:eastAsia="Times New Roman" w:hAnsi="Arial" w:cs="Arial"/>
          <w:color w:val="222222"/>
          <w:sz w:val="20"/>
          <w:szCs w:val="20"/>
        </w:rPr>
        <w:t xml:space="preserve">programs </w:t>
      </w:r>
      <w:r w:rsidRPr="005A7549">
        <w:rPr>
          <w:rFonts w:ascii="Arial" w:eastAsia="Times New Roman" w:hAnsi="Arial" w:cs="Arial"/>
          <w:color w:val="222222"/>
          <w:sz w:val="20"/>
          <w:szCs w:val="20"/>
        </w:rPr>
        <w:t xml:space="preserve">(ADAP, ATP, WPS and XRP) in 2014, there were 573 proposals from 476 </w:t>
      </w:r>
      <w:r w:rsidR="00312F31">
        <w:rPr>
          <w:rFonts w:ascii="Arial" w:eastAsia="Times New Roman" w:hAnsi="Arial" w:cs="Arial"/>
          <w:color w:val="222222"/>
          <w:sz w:val="20"/>
          <w:szCs w:val="20"/>
        </w:rPr>
        <w:t xml:space="preserve">unique </w:t>
      </w:r>
      <w:r w:rsidRPr="005A7549">
        <w:rPr>
          <w:rFonts w:ascii="Arial" w:eastAsia="Times New Roman" w:hAnsi="Arial" w:cs="Arial"/>
          <w:color w:val="222222"/>
          <w:sz w:val="20"/>
          <w:szCs w:val="20"/>
        </w:rPr>
        <w:t>PIs</w:t>
      </w:r>
      <w:r w:rsidR="00331972">
        <w:rPr>
          <w:rStyle w:val="FootnoteReference"/>
          <w:rFonts w:ascii="Arial" w:eastAsia="Times New Roman" w:hAnsi="Arial" w:cs="Arial"/>
          <w:color w:val="222222"/>
          <w:sz w:val="20"/>
          <w:szCs w:val="20"/>
        </w:rPr>
        <w:footnoteReference w:id="8"/>
      </w:r>
      <w:r w:rsidRPr="005A7549">
        <w:rPr>
          <w:rFonts w:ascii="Arial" w:eastAsia="Times New Roman" w:hAnsi="Arial" w:cs="Arial"/>
          <w:color w:val="222222"/>
          <w:sz w:val="20"/>
          <w:szCs w:val="20"/>
        </w:rPr>
        <w:t>. In 2008 and 2009, the number of pr</w:t>
      </w:r>
      <w:r>
        <w:rPr>
          <w:rFonts w:ascii="Arial" w:eastAsia="Times New Roman" w:hAnsi="Arial" w:cs="Arial"/>
          <w:color w:val="222222"/>
          <w:sz w:val="20"/>
          <w:szCs w:val="20"/>
        </w:rPr>
        <w:t xml:space="preserve">oposals rose from 290 to 393. </w:t>
      </w:r>
      <w:r w:rsidRPr="005A7549">
        <w:rPr>
          <w:rFonts w:ascii="Arial" w:eastAsia="Times New Roman" w:hAnsi="Arial" w:cs="Arial"/>
          <w:color w:val="222222"/>
          <w:sz w:val="20"/>
          <w:szCs w:val="20"/>
        </w:rPr>
        <w:t>Thus we know that there were no more than 290 (393) unique PIs in 2008 (2</w:t>
      </w:r>
      <w:r>
        <w:rPr>
          <w:rFonts w:ascii="Arial" w:eastAsia="Times New Roman" w:hAnsi="Arial" w:cs="Arial"/>
          <w:color w:val="222222"/>
          <w:sz w:val="20"/>
          <w:szCs w:val="20"/>
        </w:rPr>
        <w:t xml:space="preserve">009), compared to 476 in 2014. </w:t>
      </w:r>
      <w:r w:rsidRPr="006470B7">
        <w:rPr>
          <w:rFonts w:ascii="Arial" w:eastAsia="Times New Roman" w:hAnsi="Arial" w:cs="Arial"/>
          <w:color w:val="222222"/>
          <w:sz w:val="20"/>
          <w:szCs w:val="20"/>
        </w:rPr>
        <w:t xml:space="preserve">Note that </w:t>
      </w:r>
      <w:r w:rsidR="009D43DB">
        <w:rPr>
          <w:rFonts w:ascii="Arial" w:eastAsia="Times New Roman" w:hAnsi="Arial" w:cs="Arial"/>
          <w:color w:val="222222"/>
          <w:sz w:val="20"/>
          <w:szCs w:val="20"/>
        </w:rPr>
        <w:t xml:space="preserve">none of these data can </w:t>
      </w:r>
      <w:r w:rsidRPr="006470B7">
        <w:rPr>
          <w:rFonts w:ascii="Arial" w:eastAsia="Times New Roman" w:hAnsi="Arial" w:cs="Arial"/>
          <w:color w:val="222222"/>
          <w:sz w:val="20"/>
          <w:szCs w:val="20"/>
        </w:rPr>
        <w:t xml:space="preserve">address whether </w:t>
      </w:r>
      <w:r w:rsidR="005A5F9A" w:rsidRPr="006470B7">
        <w:rPr>
          <w:rFonts w:ascii="Arial" w:eastAsia="Times New Roman" w:hAnsi="Arial" w:cs="Arial"/>
          <w:color w:val="222222"/>
          <w:sz w:val="20"/>
          <w:szCs w:val="20"/>
        </w:rPr>
        <w:t xml:space="preserve">PIs </w:t>
      </w:r>
      <w:r w:rsidRPr="006470B7">
        <w:rPr>
          <w:rFonts w:ascii="Arial" w:eastAsia="Times New Roman" w:hAnsi="Arial" w:cs="Arial"/>
          <w:color w:val="222222"/>
          <w:sz w:val="20"/>
          <w:szCs w:val="20"/>
        </w:rPr>
        <w:t>are submitting a larger number of similar proposals to multiple agencies</w:t>
      </w:r>
      <w:r w:rsidR="00391347">
        <w:rPr>
          <w:rFonts w:ascii="Arial" w:eastAsia="Times New Roman" w:hAnsi="Arial" w:cs="Arial"/>
          <w:color w:val="222222"/>
          <w:sz w:val="20"/>
          <w:szCs w:val="20"/>
        </w:rPr>
        <w:t>; t</w:t>
      </w:r>
      <w:r w:rsidR="009D43DB">
        <w:rPr>
          <w:rFonts w:ascii="Arial" w:eastAsia="Times New Roman" w:hAnsi="Arial" w:cs="Arial"/>
          <w:color w:val="222222"/>
          <w:sz w:val="20"/>
          <w:szCs w:val="20"/>
        </w:rPr>
        <w:t>his information is</w:t>
      </w:r>
      <w:r w:rsidR="00713038">
        <w:rPr>
          <w:rFonts w:ascii="Arial" w:eastAsia="Times New Roman" w:hAnsi="Arial" w:cs="Arial"/>
          <w:color w:val="222222"/>
          <w:sz w:val="20"/>
          <w:szCs w:val="20"/>
        </w:rPr>
        <w:t xml:space="preserve"> not readily distilled. </w:t>
      </w:r>
    </w:p>
    <w:p w14:paraId="65D60900" w14:textId="4B1FD9F9" w:rsidR="007A5536" w:rsidRPr="005A7549" w:rsidRDefault="005A7549" w:rsidP="00E57FA2">
      <w:pPr>
        <w:keepNext/>
        <w:shd w:val="clear" w:color="auto" w:fill="FFFFFF"/>
        <w:spacing w:before="240" w:after="120" w:line="240" w:lineRule="auto"/>
        <w:rPr>
          <w:rFonts w:ascii="Arial" w:eastAsia="Times New Roman" w:hAnsi="Arial" w:cs="Arial"/>
          <w:color w:val="222222"/>
          <w:sz w:val="20"/>
          <w:szCs w:val="20"/>
        </w:rPr>
      </w:pPr>
      <w:r w:rsidRPr="005A7549">
        <w:rPr>
          <w:rFonts w:ascii="Arial" w:eastAsia="Times New Roman" w:hAnsi="Arial" w:cs="Arial"/>
          <w:color w:val="222222"/>
          <w:sz w:val="20"/>
          <w:szCs w:val="20"/>
        </w:rPr>
        <w:t xml:space="preserve">The </w:t>
      </w:r>
      <w:r w:rsidR="009D7BCA">
        <w:rPr>
          <w:rFonts w:ascii="Arial" w:eastAsia="Times New Roman" w:hAnsi="Arial" w:cs="Arial"/>
          <w:color w:val="222222"/>
          <w:sz w:val="20"/>
          <w:szCs w:val="20"/>
        </w:rPr>
        <w:t>hypothesis</w:t>
      </w:r>
      <w:r w:rsidR="009D7BCA" w:rsidRPr="005A7549">
        <w:rPr>
          <w:rFonts w:ascii="Arial" w:eastAsia="Times New Roman" w:hAnsi="Arial" w:cs="Arial"/>
          <w:color w:val="222222"/>
          <w:sz w:val="20"/>
          <w:szCs w:val="20"/>
        </w:rPr>
        <w:t xml:space="preserve"> </w:t>
      </w:r>
      <w:r w:rsidRPr="005A7549">
        <w:rPr>
          <w:rFonts w:ascii="Arial" w:eastAsia="Times New Roman" w:hAnsi="Arial" w:cs="Arial"/>
          <w:color w:val="222222"/>
          <w:sz w:val="20"/>
          <w:szCs w:val="20"/>
        </w:rPr>
        <w:t>that funding opportunities and fellowships targeting postdocs have created a</w:t>
      </w:r>
      <w:r w:rsidR="009D7BCA">
        <w:rPr>
          <w:rFonts w:ascii="Arial" w:eastAsia="Times New Roman" w:hAnsi="Arial" w:cs="Arial"/>
          <w:color w:val="222222"/>
          <w:sz w:val="20"/>
          <w:szCs w:val="20"/>
        </w:rPr>
        <w:t xml:space="preserve"> </w:t>
      </w:r>
      <w:r w:rsidR="002B78F3">
        <w:rPr>
          <w:rFonts w:ascii="Arial" w:eastAsia="Times New Roman" w:hAnsi="Arial" w:cs="Arial"/>
          <w:color w:val="222222"/>
          <w:sz w:val="20"/>
          <w:szCs w:val="20"/>
        </w:rPr>
        <w:t xml:space="preserve">proportionally </w:t>
      </w:r>
      <w:r w:rsidR="009D7BCA">
        <w:rPr>
          <w:rFonts w:ascii="Arial" w:eastAsia="Times New Roman" w:hAnsi="Arial" w:cs="Arial"/>
          <w:color w:val="222222"/>
          <w:sz w:val="20"/>
          <w:szCs w:val="20"/>
        </w:rPr>
        <w:t>larger</w:t>
      </w:r>
      <w:r w:rsidRPr="005A7549">
        <w:rPr>
          <w:rFonts w:ascii="Arial" w:eastAsia="Times New Roman" w:hAnsi="Arial" w:cs="Arial"/>
          <w:color w:val="222222"/>
          <w:sz w:val="20"/>
          <w:szCs w:val="20"/>
        </w:rPr>
        <w:t xml:space="preserve"> population, just now moving into the ranks of PI, is also not born</w:t>
      </w:r>
      <w:r w:rsidR="00F56803">
        <w:rPr>
          <w:rFonts w:ascii="Arial" w:eastAsia="Times New Roman" w:hAnsi="Arial" w:cs="Arial"/>
          <w:color w:val="222222"/>
          <w:sz w:val="20"/>
          <w:szCs w:val="20"/>
        </w:rPr>
        <w:t>e</w:t>
      </w:r>
      <w:r w:rsidRPr="005A7549">
        <w:rPr>
          <w:rFonts w:ascii="Arial" w:eastAsia="Times New Roman" w:hAnsi="Arial" w:cs="Arial"/>
          <w:color w:val="222222"/>
          <w:sz w:val="20"/>
          <w:szCs w:val="20"/>
        </w:rPr>
        <w:t xml:space="preserve"> out by the statis</w:t>
      </w:r>
      <w:r w:rsidR="00F56803">
        <w:rPr>
          <w:rFonts w:ascii="Arial" w:eastAsia="Times New Roman" w:hAnsi="Arial" w:cs="Arial"/>
          <w:color w:val="222222"/>
          <w:sz w:val="20"/>
          <w:szCs w:val="20"/>
        </w:rPr>
        <w:t>tics.</w:t>
      </w:r>
      <w:r w:rsidRPr="005A7549">
        <w:rPr>
          <w:rFonts w:ascii="Arial" w:eastAsia="Times New Roman" w:hAnsi="Arial" w:cs="Arial"/>
          <w:color w:val="222222"/>
          <w:sz w:val="20"/>
          <w:szCs w:val="20"/>
        </w:rPr>
        <w:t xml:space="preserve"> Indeed, the proportion of submitting PIs who are less than 15 years since PhD has actually declined somewhat in NSF </w:t>
      </w:r>
      <w:r w:rsidR="005E5BDD">
        <w:rPr>
          <w:rFonts w:ascii="Arial" w:eastAsia="Times New Roman" w:hAnsi="Arial" w:cs="Arial"/>
          <w:color w:val="222222"/>
          <w:sz w:val="20"/>
          <w:szCs w:val="20"/>
        </w:rPr>
        <w:t>AST</w:t>
      </w:r>
      <w:r w:rsidRPr="005A7549">
        <w:rPr>
          <w:rFonts w:ascii="Arial" w:eastAsia="Times New Roman" w:hAnsi="Arial" w:cs="Arial"/>
          <w:color w:val="222222"/>
          <w:sz w:val="20"/>
          <w:szCs w:val="20"/>
        </w:rPr>
        <w:t>, from</w:t>
      </w:r>
      <w:r w:rsidR="003B10E0">
        <w:rPr>
          <w:rFonts w:ascii="Arial" w:eastAsia="Times New Roman" w:hAnsi="Arial" w:cs="Arial"/>
          <w:color w:val="222222"/>
          <w:sz w:val="20"/>
          <w:szCs w:val="20"/>
        </w:rPr>
        <w:t xml:space="preserve"> ~50% in FY06 to ~45% in FY15. </w:t>
      </w:r>
      <w:r w:rsidRPr="005A7549">
        <w:rPr>
          <w:rFonts w:ascii="Arial" w:eastAsia="Times New Roman" w:hAnsi="Arial" w:cs="Arial"/>
          <w:color w:val="222222"/>
          <w:sz w:val="20"/>
          <w:szCs w:val="20"/>
        </w:rPr>
        <w:t>In NSF Particle Astrophysics, the fraction of younger PIs was very small</w:t>
      </w:r>
      <w:r w:rsidR="001A7D45">
        <w:rPr>
          <w:rStyle w:val="FootnoteReference"/>
          <w:rFonts w:ascii="Arial" w:eastAsia="Times New Roman" w:hAnsi="Arial" w:cs="Arial"/>
          <w:color w:val="222222"/>
          <w:sz w:val="20"/>
          <w:szCs w:val="20"/>
        </w:rPr>
        <w:footnoteReference w:id="9"/>
      </w:r>
      <w:r w:rsidRPr="005A7549">
        <w:rPr>
          <w:rFonts w:ascii="Arial" w:eastAsia="Times New Roman" w:hAnsi="Arial" w:cs="Arial"/>
          <w:color w:val="222222"/>
          <w:sz w:val="20"/>
          <w:szCs w:val="20"/>
        </w:rPr>
        <w:t xml:space="preserve"> when the divi</w:t>
      </w:r>
      <w:r w:rsidR="003B10E0">
        <w:rPr>
          <w:rFonts w:ascii="Arial" w:eastAsia="Times New Roman" w:hAnsi="Arial" w:cs="Arial"/>
          <w:color w:val="222222"/>
          <w:sz w:val="20"/>
          <w:szCs w:val="20"/>
        </w:rPr>
        <w:t xml:space="preserve">sion </w:t>
      </w:r>
      <w:r w:rsidR="008B2900">
        <w:rPr>
          <w:rFonts w:ascii="Arial" w:eastAsia="Times New Roman" w:hAnsi="Arial" w:cs="Arial"/>
          <w:color w:val="222222"/>
          <w:sz w:val="20"/>
          <w:szCs w:val="20"/>
        </w:rPr>
        <w:t xml:space="preserve">program </w:t>
      </w:r>
      <w:r w:rsidR="003B10E0">
        <w:rPr>
          <w:rFonts w:ascii="Arial" w:eastAsia="Times New Roman" w:hAnsi="Arial" w:cs="Arial"/>
          <w:color w:val="222222"/>
          <w:sz w:val="20"/>
          <w:szCs w:val="20"/>
        </w:rPr>
        <w:t>was created in 2000</w:t>
      </w:r>
      <w:r w:rsidRPr="005A7549">
        <w:rPr>
          <w:rFonts w:ascii="Arial" w:eastAsia="Times New Roman" w:hAnsi="Arial" w:cs="Arial"/>
          <w:color w:val="222222"/>
          <w:sz w:val="20"/>
          <w:szCs w:val="20"/>
        </w:rPr>
        <w:t>, so the uptick in younger</w:t>
      </w:r>
      <w:r>
        <w:rPr>
          <w:rFonts w:ascii="Arial" w:eastAsia="Times New Roman" w:hAnsi="Arial" w:cs="Arial"/>
          <w:color w:val="222222"/>
          <w:sz w:val="20"/>
          <w:szCs w:val="20"/>
        </w:rPr>
        <w:t xml:space="preserve"> </w:t>
      </w:r>
      <w:r w:rsidRPr="005A7549">
        <w:rPr>
          <w:rFonts w:ascii="Arial" w:eastAsia="Times New Roman" w:hAnsi="Arial" w:cs="Arial"/>
          <w:color w:val="222222"/>
          <w:sz w:val="20"/>
          <w:szCs w:val="20"/>
        </w:rPr>
        <w:t>researchers since then has simply brought it into the same balance observed by NSF/AST over the last decade.</w:t>
      </w:r>
    </w:p>
    <w:p w14:paraId="13E98616" w14:textId="5017ACE6" w:rsidR="00707CFD" w:rsidRDefault="005A7549" w:rsidP="00707CFD">
      <w:pPr>
        <w:keepNext/>
        <w:shd w:val="clear" w:color="auto" w:fill="FFFFFF"/>
        <w:spacing w:before="240" w:after="120" w:line="240" w:lineRule="auto"/>
        <w:rPr>
          <w:rFonts w:ascii="Arial" w:eastAsia="Times New Roman" w:hAnsi="Arial" w:cs="Arial"/>
          <w:color w:val="222222"/>
          <w:sz w:val="20"/>
          <w:szCs w:val="20"/>
        </w:rPr>
      </w:pPr>
      <w:r w:rsidRPr="005A7549">
        <w:rPr>
          <w:rFonts w:ascii="Arial" w:eastAsia="Times New Roman" w:hAnsi="Arial" w:cs="Arial"/>
          <w:color w:val="222222"/>
          <w:sz w:val="20"/>
          <w:szCs w:val="20"/>
        </w:rPr>
        <w:t>There is also no significant change in the proportion of institution types submitting proposa</w:t>
      </w:r>
      <w:r w:rsidR="00FF56DB">
        <w:rPr>
          <w:rFonts w:ascii="Arial" w:eastAsia="Times New Roman" w:hAnsi="Arial" w:cs="Arial"/>
          <w:color w:val="222222"/>
          <w:sz w:val="20"/>
          <w:szCs w:val="20"/>
        </w:rPr>
        <w:t xml:space="preserve">ls, nor in the average salary-months requested </w:t>
      </w:r>
      <w:proofErr w:type="gramStart"/>
      <w:r w:rsidR="00FF56DB">
        <w:rPr>
          <w:rFonts w:ascii="Arial" w:eastAsia="Times New Roman" w:hAnsi="Arial" w:cs="Arial"/>
          <w:color w:val="222222"/>
          <w:sz w:val="20"/>
          <w:szCs w:val="20"/>
        </w:rPr>
        <w:t>by</w:t>
      </w:r>
      <w:proofErr w:type="gramEnd"/>
      <w:r w:rsidR="00FF56DB">
        <w:rPr>
          <w:rFonts w:ascii="Arial" w:eastAsia="Times New Roman" w:hAnsi="Arial" w:cs="Arial"/>
          <w:color w:val="222222"/>
          <w:sz w:val="20"/>
          <w:szCs w:val="20"/>
        </w:rPr>
        <w:t xml:space="preserve"> PIs, </w:t>
      </w:r>
      <w:r w:rsidR="002B424D">
        <w:rPr>
          <w:rFonts w:ascii="Arial" w:eastAsia="Times New Roman" w:hAnsi="Arial" w:cs="Arial"/>
          <w:color w:val="222222"/>
          <w:sz w:val="20"/>
          <w:szCs w:val="20"/>
        </w:rPr>
        <w:t xml:space="preserve">nor in the average requested inflation-adjusted budgets, </w:t>
      </w:r>
      <w:r w:rsidR="00FF56DB">
        <w:rPr>
          <w:rFonts w:ascii="Arial" w:eastAsia="Times New Roman" w:hAnsi="Arial" w:cs="Arial"/>
          <w:color w:val="222222"/>
          <w:sz w:val="20"/>
          <w:szCs w:val="20"/>
        </w:rPr>
        <w:t>nor in the relative success rates by gender and ethnicity</w:t>
      </w:r>
      <w:r w:rsidR="00EF4EE0">
        <w:t>.</w:t>
      </w:r>
      <w:r w:rsidR="00FF56DB">
        <w:rPr>
          <w:rFonts w:ascii="Arial" w:eastAsia="Times New Roman" w:hAnsi="Arial" w:cs="Arial"/>
          <w:color w:val="222222"/>
          <w:sz w:val="20"/>
          <w:szCs w:val="20"/>
        </w:rPr>
        <w:t xml:space="preserve"> </w:t>
      </w:r>
      <w:r w:rsidR="00CF1947">
        <w:rPr>
          <w:rFonts w:ascii="Arial" w:eastAsia="Times New Roman" w:hAnsi="Arial" w:cs="Arial"/>
          <w:color w:val="222222"/>
          <w:sz w:val="20"/>
          <w:szCs w:val="20"/>
        </w:rPr>
        <w:t>The data do not directly speak to possible changes in the proportion of “soft money” investigators</w:t>
      </w:r>
      <w:r w:rsidR="00CC2AF4">
        <w:rPr>
          <w:rFonts w:ascii="Arial" w:eastAsia="Times New Roman" w:hAnsi="Arial" w:cs="Arial"/>
          <w:color w:val="222222"/>
          <w:sz w:val="20"/>
          <w:szCs w:val="20"/>
        </w:rPr>
        <w:t xml:space="preserve"> driving up proposal pressure</w:t>
      </w:r>
      <w:r w:rsidR="00CF1947">
        <w:rPr>
          <w:rFonts w:ascii="Arial" w:eastAsia="Times New Roman" w:hAnsi="Arial" w:cs="Arial"/>
          <w:color w:val="222222"/>
          <w:sz w:val="20"/>
          <w:szCs w:val="20"/>
        </w:rPr>
        <w:t xml:space="preserve">, however to be consistent with the </w:t>
      </w:r>
      <w:r w:rsidR="00FA7E1F">
        <w:rPr>
          <w:rFonts w:ascii="Arial" w:eastAsia="Times New Roman" w:hAnsi="Arial" w:cs="Arial"/>
          <w:color w:val="222222"/>
          <w:sz w:val="20"/>
          <w:szCs w:val="20"/>
        </w:rPr>
        <w:t xml:space="preserve">above findings, such soft money investigators would have to comprise a mix of junior and senior investigators in such a way as to leave the overall demographics unchanged. </w:t>
      </w:r>
      <w:r w:rsidR="00291A6A">
        <w:rPr>
          <w:rFonts w:ascii="Arial" w:eastAsia="Times New Roman" w:hAnsi="Arial" w:cs="Arial"/>
          <w:color w:val="222222"/>
          <w:sz w:val="20"/>
          <w:szCs w:val="20"/>
        </w:rPr>
        <w:t xml:space="preserve"> </w:t>
      </w:r>
      <w:r w:rsidR="00186C39">
        <w:rPr>
          <w:rFonts w:ascii="Arial" w:eastAsia="Times New Roman" w:hAnsi="Arial" w:cs="Arial"/>
          <w:color w:val="222222"/>
          <w:sz w:val="20"/>
          <w:szCs w:val="20"/>
        </w:rPr>
        <w:t>It is thus clear that, while the number of proposers has been rising steadily, t</w:t>
      </w:r>
      <w:r w:rsidR="00186C39" w:rsidRPr="00186C39">
        <w:rPr>
          <w:rFonts w:ascii="Arial" w:eastAsia="Times New Roman" w:hAnsi="Arial" w:cs="Arial"/>
          <w:color w:val="222222"/>
          <w:sz w:val="20"/>
          <w:szCs w:val="20"/>
        </w:rPr>
        <w:t xml:space="preserve">he </w:t>
      </w:r>
      <w:r w:rsidR="00186C39">
        <w:rPr>
          <w:rFonts w:ascii="Arial" w:eastAsia="Times New Roman" w:hAnsi="Arial" w:cs="Arial"/>
          <w:color w:val="222222"/>
          <w:sz w:val="20"/>
          <w:szCs w:val="20"/>
        </w:rPr>
        <w:t xml:space="preserve">demographic pool from which they are drawn has </w:t>
      </w:r>
      <w:r w:rsidR="00186C39" w:rsidRPr="00186C39">
        <w:rPr>
          <w:rFonts w:ascii="Arial" w:eastAsia="Times New Roman" w:hAnsi="Arial" w:cs="Arial"/>
          <w:color w:val="222222"/>
          <w:sz w:val="20"/>
          <w:szCs w:val="20"/>
        </w:rPr>
        <w:t>not significantly changed. The mix of junior and senior investigators is largely unchanged, and the number of investigators submitting multiple proposals has increased only modestly.</w:t>
      </w:r>
      <w:r w:rsidR="00707CFD" w:rsidRPr="00707CFD">
        <w:rPr>
          <w:rFonts w:ascii="Arial" w:eastAsia="Times New Roman" w:hAnsi="Arial" w:cs="Arial"/>
          <w:color w:val="222222"/>
          <w:sz w:val="20"/>
          <w:szCs w:val="20"/>
        </w:rPr>
        <w:t xml:space="preserve"> </w:t>
      </w:r>
    </w:p>
    <w:p w14:paraId="00A8A399" w14:textId="0C63DDA5" w:rsidR="00186C39" w:rsidRDefault="00707CFD" w:rsidP="00E57FA2">
      <w:pPr>
        <w:keepNext/>
        <w:shd w:val="clear" w:color="auto" w:fill="FFFFFF"/>
        <w:spacing w:before="240" w:after="120" w:line="240" w:lineRule="auto"/>
        <w:rPr>
          <w:rFonts w:ascii="Arial" w:eastAsia="Times New Roman" w:hAnsi="Arial" w:cs="Arial"/>
          <w:color w:val="222222"/>
          <w:sz w:val="20"/>
          <w:szCs w:val="20"/>
        </w:rPr>
      </w:pPr>
      <w:r>
        <w:rPr>
          <w:rFonts w:ascii="Arial" w:eastAsia="Times New Roman" w:hAnsi="Arial" w:cs="Arial"/>
          <w:color w:val="222222"/>
          <w:sz w:val="20"/>
          <w:szCs w:val="20"/>
        </w:rPr>
        <w:t>T</w:t>
      </w:r>
      <w:r w:rsidRPr="005F0FFB">
        <w:rPr>
          <w:rFonts w:ascii="Arial" w:eastAsia="Times New Roman" w:hAnsi="Arial" w:cs="Arial"/>
          <w:color w:val="222222"/>
          <w:sz w:val="20"/>
          <w:szCs w:val="20"/>
        </w:rPr>
        <w:t>he number of unique proposers to NSF/AST AAG per 3-year funding cy</w:t>
      </w:r>
      <w:r>
        <w:rPr>
          <w:rFonts w:ascii="Arial" w:eastAsia="Times New Roman" w:hAnsi="Arial" w:cs="Arial"/>
          <w:color w:val="222222"/>
          <w:sz w:val="20"/>
          <w:szCs w:val="20"/>
        </w:rPr>
        <w:t>cle has grown from 1025 (</w:t>
      </w:r>
      <w:r w:rsidR="002B78F3">
        <w:rPr>
          <w:rFonts w:ascii="Arial" w:eastAsia="Times New Roman" w:hAnsi="Arial" w:cs="Arial"/>
          <w:color w:val="222222"/>
          <w:sz w:val="20"/>
          <w:szCs w:val="20"/>
        </w:rPr>
        <w:t>2008-2010</w:t>
      </w:r>
      <w:r>
        <w:rPr>
          <w:rFonts w:ascii="Arial" w:eastAsia="Times New Roman" w:hAnsi="Arial" w:cs="Arial"/>
          <w:color w:val="222222"/>
          <w:sz w:val="20"/>
          <w:szCs w:val="20"/>
        </w:rPr>
        <w:t xml:space="preserve">) to </w:t>
      </w:r>
      <w:r w:rsidRPr="005F0FFB">
        <w:rPr>
          <w:rFonts w:ascii="Arial" w:eastAsia="Times New Roman" w:hAnsi="Arial" w:cs="Arial"/>
          <w:color w:val="222222"/>
          <w:sz w:val="20"/>
          <w:szCs w:val="20"/>
        </w:rPr>
        <w:t xml:space="preserve">1160 </w:t>
      </w:r>
      <w:r>
        <w:rPr>
          <w:rFonts w:ascii="Arial" w:eastAsia="Times New Roman" w:hAnsi="Arial" w:cs="Arial"/>
          <w:color w:val="222222"/>
          <w:sz w:val="20"/>
          <w:szCs w:val="20"/>
        </w:rPr>
        <w:t>(</w:t>
      </w:r>
      <w:r w:rsidR="002B78F3">
        <w:rPr>
          <w:rFonts w:ascii="Arial" w:eastAsia="Times New Roman" w:hAnsi="Arial" w:cs="Arial"/>
          <w:color w:val="222222"/>
          <w:sz w:val="20"/>
          <w:szCs w:val="20"/>
        </w:rPr>
        <w:t>2013-2015</w:t>
      </w:r>
      <w:r>
        <w:rPr>
          <w:rFonts w:ascii="Arial" w:eastAsia="Times New Roman" w:hAnsi="Arial" w:cs="Arial"/>
          <w:color w:val="222222"/>
          <w:sz w:val="20"/>
          <w:szCs w:val="20"/>
        </w:rPr>
        <w:t>)</w:t>
      </w:r>
      <w:r w:rsidRPr="005F0FFB">
        <w:rPr>
          <w:rFonts w:ascii="Arial" w:eastAsia="Times New Roman" w:hAnsi="Arial" w:cs="Arial"/>
          <w:color w:val="222222"/>
          <w:sz w:val="20"/>
          <w:szCs w:val="20"/>
        </w:rPr>
        <w:t>, representing an average growth of 2.2% per year</w:t>
      </w:r>
      <w:r w:rsidRPr="00391347">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when corrected for resubmission by unsuccessful PIs in subsequent years (detailed in section 2.4).  This can be compared to the AAS </w:t>
      </w:r>
      <w:r w:rsidR="004414EA">
        <w:rPr>
          <w:rFonts w:ascii="Arial" w:eastAsia="Times New Roman" w:hAnsi="Arial" w:cs="Arial"/>
          <w:color w:val="222222"/>
          <w:sz w:val="20"/>
          <w:szCs w:val="20"/>
        </w:rPr>
        <w:t xml:space="preserve">full </w:t>
      </w:r>
      <w:r>
        <w:rPr>
          <w:rFonts w:ascii="Arial" w:eastAsia="Times New Roman" w:hAnsi="Arial" w:cs="Arial"/>
          <w:color w:val="222222"/>
          <w:sz w:val="20"/>
          <w:szCs w:val="20"/>
        </w:rPr>
        <w:t xml:space="preserve">membership, which has grown from </w:t>
      </w:r>
      <w:r w:rsidRPr="005F0FFB">
        <w:rPr>
          <w:rFonts w:ascii="Arial" w:eastAsia="Times New Roman" w:hAnsi="Arial" w:cs="Arial"/>
          <w:color w:val="222222"/>
          <w:sz w:val="20"/>
          <w:szCs w:val="20"/>
        </w:rPr>
        <w:t xml:space="preserve">3000 </w:t>
      </w:r>
      <w:r>
        <w:rPr>
          <w:rFonts w:ascii="Arial" w:eastAsia="Times New Roman" w:hAnsi="Arial" w:cs="Arial"/>
          <w:color w:val="222222"/>
          <w:sz w:val="20"/>
          <w:szCs w:val="20"/>
        </w:rPr>
        <w:t>to 4500 over the years from 1990 to 2014</w:t>
      </w:r>
      <w:r w:rsidRPr="005F0FFB">
        <w:rPr>
          <w:rFonts w:ascii="Arial" w:eastAsia="Times New Roman" w:hAnsi="Arial" w:cs="Arial"/>
          <w:color w:val="222222"/>
          <w:sz w:val="20"/>
          <w:szCs w:val="20"/>
        </w:rPr>
        <w:t xml:space="preserve">, representing an average growth of 2.1% per year. </w:t>
      </w:r>
      <w:r>
        <w:rPr>
          <w:rFonts w:ascii="Arial" w:eastAsia="Times New Roman" w:hAnsi="Arial" w:cs="Arial"/>
          <w:color w:val="222222"/>
          <w:sz w:val="20"/>
          <w:szCs w:val="20"/>
        </w:rPr>
        <w:t xml:space="preserve"> Thus, it appears that </w:t>
      </w:r>
      <w:r w:rsidRPr="005F0FFB">
        <w:rPr>
          <w:rFonts w:ascii="Arial" w:eastAsia="Times New Roman" w:hAnsi="Arial" w:cs="Arial"/>
          <w:color w:val="222222"/>
          <w:sz w:val="20"/>
          <w:szCs w:val="20"/>
        </w:rPr>
        <w:t xml:space="preserve">growth in the number of investigators </w:t>
      </w:r>
      <w:r>
        <w:rPr>
          <w:rFonts w:ascii="Arial" w:eastAsia="Times New Roman" w:hAnsi="Arial" w:cs="Arial"/>
          <w:color w:val="222222"/>
          <w:sz w:val="20"/>
          <w:szCs w:val="20"/>
        </w:rPr>
        <w:t>tracks the overall growth of researchers in the field.</w:t>
      </w:r>
    </w:p>
    <w:p w14:paraId="5F242F06" w14:textId="600D8FBE" w:rsidR="007A5536" w:rsidRPr="003921E7" w:rsidRDefault="006470B7" w:rsidP="00FC581C">
      <w:pPr>
        <w:keepNext/>
        <w:shd w:val="clear" w:color="auto" w:fill="FFFFFF"/>
        <w:spacing w:before="240" w:after="120" w:line="240" w:lineRule="auto"/>
        <w:rPr>
          <w:rFonts w:ascii="Arial" w:eastAsia="Times New Roman" w:hAnsi="Arial" w:cs="Arial"/>
          <w:b/>
          <w:i/>
          <w:color w:val="222222"/>
          <w:sz w:val="20"/>
          <w:szCs w:val="20"/>
        </w:rPr>
      </w:pPr>
      <w:proofErr w:type="gramStart"/>
      <w:r>
        <w:rPr>
          <w:rFonts w:ascii="Arial" w:eastAsia="Times New Roman" w:hAnsi="Arial" w:cs="Arial"/>
          <w:b/>
          <w:i/>
          <w:color w:val="222222"/>
          <w:sz w:val="20"/>
          <w:szCs w:val="20"/>
        </w:rPr>
        <w:lastRenderedPageBreak/>
        <w:t>2</w:t>
      </w:r>
      <w:r w:rsidR="00FC581C" w:rsidRPr="003921E7">
        <w:rPr>
          <w:rFonts w:ascii="Arial" w:eastAsia="Times New Roman" w:hAnsi="Arial" w:cs="Arial"/>
          <w:b/>
          <w:i/>
          <w:color w:val="222222"/>
          <w:sz w:val="20"/>
          <w:szCs w:val="20"/>
        </w:rPr>
        <w:t>.</w:t>
      </w:r>
      <w:r w:rsidR="004B299C" w:rsidRPr="003921E7">
        <w:rPr>
          <w:rFonts w:ascii="Arial" w:eastAsia="Times New Roman" w:hAnsi="Arial" w:cs="Arial"/>
          <w:b/>
          <w:i/>
          <w:color w:val="222222"/>
          <w:sz w:val="20"/>
          <w:szCs w:val="20"/>
        </w:rPr>
        <w:t>4</w:t>
      </w:r>
      <w:r w:rsidR="00FC581C" w:rsidRPr="003921E7">
        <w:rPr>
          <w:rFonts w:ascii="Arial" w:eastAsia="Times New Roman" w:hAnsi="Arial" w:cs="Arial"/>
          <w:b/>
          <w:i/>
          <w:color w:val="222222"/>
          <w:sz w:val="20"/>
          <w:szCs w:val="20"/>
        </w:rPr>
        <w:t xml:space="preserve">  Propos</w:t>
      </w:r>
      <w:r w:rsidR="004B299C" w:rsidRPr="003921E7">
        <w:rPr>
          <w:rFonts w:ascii="Arial" w:eastAsia="Times New Roman" w:hAnsi="Arial" w:cs="Arial"/>
          <w:b/>
          <w:i/>
          <w:color w:val="222222"/>
          <w:sz w:val="20"/>
          <w:szCs w:val="20"/>
        </w:rPr>
        <w:t>al</w:t>
      </w:r>
      <w:proofErr w:type="gramEnd"/>
      <w:r w:rsidR="004B299C" w:rsidRPr="003921E7">
        <w:rPr>
          <w:rFonts w:ascii="Arial" w:eastAsia="Times New Roman" w:hAnsi="Arial" w:cs="Arial"/>
          <w:b/>
          <w:i/>
          <w:color w:val="222222"/>
          <w:sz w:val="20"/>
          <w:szCs w:val="20"/>
        </w:rPr>
        <w:t xml:space="preserve"> resubmissions</w:t>
      </w:r>
    </w:p>
    <w:p w14:paraId="3BEE1C20" w14:textId="65B292AD" w:rsidR="00707CFD" w:rsidRDefault="004B299C" w:rsidP="00E57FA2">
      <w:pPr>
        <w:keepNext/>
        <w:shd w:val="clear" w:color="auto" w:fill="FFFFFF"/>
        <w:spacing w:before="240" w:after="120" w:line="240" w:lineRule="auto"/>
        <w:rPr>
          <w:rFonts w:ascii="Arial" w:eastAsia="Times New Roman" w:hAnsi="Arial" w:cs="Arial"/>
          <w:color w:val="222222"/>
          <w:sz w:val="20"/>
          <w:szCs w:val="20"/>
        </w:rPr>
      </w:pPr>
      <w:r>
        <w:rPr>
          <w:rFonts w:ascii="Arial" w:eastAsia="Times New Roman" w:hAnsi="Arial" w:cs="Arial"/>
          <w:color w:val="222222"/>
          <w:sz w:val="20"/>
          <w:szCs w:val="20"/>
        </w:rPr>
        <w:t>Figure 2</w:t>
      </w:r>
      <w:r w:rsidR="00511F92" w:rsidRPr="003B10E0">
        <w:rPr>
          <w:rFonts w:ascii="Arial" w:eastAsia="Times New Roman" w:hAnsi="Arial" w:cs="Arial"/>
          <w:color w:val="222222"/>
          <w:sz w:val="20"/>
          <w:szCs w:val="20"/>
        </w:rPr>
        <w:t xml:space="preserve"> </w:t>
      </w:r>
      <w:r w:rsidR="009D7BCA">
        <w:rPr>
          <w:rFonts w:ascii="Arial" w:eastAsia="Times New Roman" w:hAnsi="Arial" w:cs="Arial"/>
          <w:color w:val="222222"/>
          <w:sz w:val="20"/>
          <w:szCs w:val="20"/>
        </w:rPr>
        <w:t>shows</w:t>
      </w:r>
      <w:r w:rsidR="009D7BCA" w:rsidRPr="003B10E0">
        <w:rPr>
          <w:rFonts w:ascii="Arial" w:eastAsia="Times New Roman" w:hAnsi="Arial" w:cs="Arial"/>
          <w:color w:val="222222"/>
          <w:sz w:val="20"/>
          <w:szCs w:val="20"/>
        </w:rPr>
        <w:t xml:space="preserve"> </w:t>
      </w:r>
      <w:r w:rsidR="00511F92" w:rsidRPr="003B10E0">
        <w:rPr>
          <w:rFonts w:ascii="Arial" w:eastAsia="Times New Roman" w:hAnsi="Arial" w:cs="Arial"/>
          <w:color w:val="222222"/>
          <w:sz w:val="20"/>
          <w:szCs w:val="20"/>
        </w:rPr>
        <w:t>that the average number of unique proposers over a typical 3-year grant cycle (number in the right panel divided by 3) is less than t</w:t>
      </w:r>
      <w:r w:rsidR="00511F92">
        <w:rPr>
          <w:rFonts w:ascii="Arial" w:eastAsia="Times New Roman" w:hAnsi="Arial" w:cs="Arial"/>
          <w:color w:val="222222"/>
          <w:sz w:val="20"/>
          <w:szCs w:val="20"/>
        </w:rPr>
        <w:t xml:space="preserve">he number proposing each year. </w:t>
      </w:r>
      <w:r w:rsidR="00E852ED">
        <w:rPr>
          <w:rFonts w:ascii="Arial" w:eastAsia="Times New Roman" w:hAnsi="Arial" w:cs="Arial"/>
          <w:color w:val="222222"/>
          <w:sz w:val="20"/>
          <w:szCs w:val="20"/>
        </w:rPr>
        <w:t xml:space="preserve"> T</w:t>
      </w:r>
      <w:r w:rsidR="00E852ED" w:rsidRPr="00E852ED">
        <w:rPr>
          <w:rFonts w:ascii="Arial" w:eastAsia="Times New Roman" w:hAnsi="Arial" w:cs="Arial"/>
          <w:color w:val="222222"/>
          <w:sz w:val="20"/>
          <w:szCs w:val="20"/>
        </w:rPr>
        <w:t xml:space="preserve">hese data </w:t>
      </w:r>
      <w:r w:rsidR="00363ADF">
        <w:rPr>
          <w:rFonts w:ascii="Arial" w:eastAsia="Times New Roman" w:hAnsi="Arial" w:cs="Arial"/>
          <w:color w:val="222222"/>
          <w:sz w:val="20"/>
          <w:szCs w:val="20"/>
        </w:rPr>
        <w:t xml:space="preserve">(and anecdotal evidence) </w:t>
      </w:r>
      <w:r w:rsidR="00E852ED">
        <w:rPr>
          <w:rFonts w:ascii="Arial" w:eastAsia="Times New Roman" w:hAnsi="Arial" w:cs="Arial"/>
          <w:color w:val="222222"/>
          <w:sz w:val="20"/>
          <w:szCs w:val="20"/>
        </w:rPr>
        <w:t xml:space="preserve">indicate that </w:t>
      </w:r>
      <w:r w:rsidR="00821247">
        <w:rPr>
          <w:rFonts w:ascii="Arial" w:eastAsia="Times New Roman" w:hAnsi="Arial" w:cs="Arial"/>
          <w:color w:val="222222"/>
          <w:sz w:val="20"/>
          <w:szCs w:val="20"/>
        </w:rPr>
        <w:t xml:space="preserve">principal </w:t>
      </w:r>
      <w:r w:rsidR="00E852ED" w:rsidRPr="00E852ED">
        <w:rPr>
          <w:rFonts w:ascii="Arial" w:eastAsia="Times New Roman" w:hAnsi="Arial" w:cs="Arial"/>
          <w:color w:val="222222"/>
          <w:sz w:val="20"/>
          <w:szCs w:val="20"/>
        </w:rPr>
        <w:t xml:space="preserve">investigators </w:t>
      </w:r>
      <w:r w:rsidR="00E852ED">
        <w:rPr>
          <w:rFonts w:ascii="Arial" w:eastAsia="Times New Roman" w:hAnsi="Arial" w:cs="Arial"/>
          <w:color w:val="222222"/>
          <w:sz w:val="20"/>
          <w:szCs w:val="20"/>
        </w:rPr>
        <w:t>are reapplying</w:t>
      </w:r>
      <w:r w:rsidR="00E852ED" w:rsidRPr="00E852ED">
        <w:rPr>
          <w:rFonts w:ascii="Arial" w:eastAsia="Times New Roman" w:hAnsi="Arial" w:cs="Arial"/>
          <w:color w:val="222222"/>
          <w:sz w:val="20"/>
          <w:szCs w:val="20"/>
        </w:rPr>
        <w:t xml:space="preserve"> in </w:t>
      </w:r>
      <w:r w:rsidR="009D7BCA">
        <w:rPr>
          <w:rFonts w:ascii="Arial" w:eastAsia="Times New Roman" w:hAnsi="Arial" w:cs="Arial"/>
          <w:color w:val="222222"/>
          <w:sz w:val="20"/>
          <w:szCs w:val="20"/>
        </w:rPr>
        <w:t>subsequent</w:t>
      </w:r>
      <w:r w:rsidR="00FB49D8">
        <w:rPr>
          <w:rFonts w:ascii="Arial" w:eastAsia="Times New Roman" w:hAnsi="Arial" w:cs="Arial"/>
          <w:color w:val="222222"/>
          <w:sz w:val="20"/>
          <w:szCs w:val="20"/>
        </w:rPr>
        <w:t xml:space="preserve"> years </w:t>
      </w:r>
      <w:r w:rsidR="00E852ED">
        <w:rPr>
          <w:rFonts w:ascii="Arial" w:eastAsia="Times New Roman" w:hAnsi="Arial" w:cs="Arial"/>
          <w:color w:val="222222"/>
          <w:sz w:val="20"/>
          <w:szCs w:val="20"/>
        </w:rPr>
        <w:t xml:space="preserve">when their 3-year proposals are not funded.  This has the effect of </w:t>
      </w:r>
      <w:r w:rsidR="00E852ED" w:rsidRPr="00E852ED">
        <w:rPr>
          <w:rFonts w:ascii="Arial" w:eastAsia="Times New Roman" w:hAnsi="Arial" w:cs="Arial"/>
          <w:color w:val="222222"/>
          <w:sz w:val="20"/>
          <w:szCs w:val="20"/>
        </w:rPr>
        <w:t xml:space="preserve">driving up the number of proposals </w:t>
      </w:r>
      <w:r w:rsidR="00E852ED">
        <w:rPr>
          <w:rFonts w:ascii="Arial" w:eastAsia="Times New Roman" w:hAnsi="Arial" w:cs="Arial"/>
          <w:color w:val="222222"/>
          <w:sz w:val="20"/>
          <w:szCs w:val="20"/>
        </w:rPr>
        <w:t xml:space="preserve">each year, </w:t>
      </w:r>
      <w:r w:rsidR="00E852ED" w:rsidRPr="00E852ED">
        <w:rPr>
          <w:rFonts w:ascii="Arial" w:eastAsia="Times New Roman" w:hAnsi="Arial" w:cs="Arial"/>
          <w:color w:val="222222"/>
          <w:sz w:val="20"/>
          <w:szCs w:val="20"/>
        </w:rPr>
        <w:t>and driving down the success rates even further</w:t>
      </w:r>
      <w:r w:rsidR="00E852ED">
        <w:rPr>
          <w:rFonts w:ascii="Arial" w:eastAsia="Times New Roman" w:hAnsi="Arial" w:cs="Arial"/>
          <w:color w:val="222222"/>
          <w:sz w:val="20"/>
          <w:szCs w:val="20"/>
        </w:rPr>
        <w:t xml:space="preserve">.  While we do not have direct access to how many of the proposals are </w:t>
      </w:r>
      <w:r w:rsidR="0099728E">
        <w:rPr>
          <w:rFonts w:ascii="Arial" w:eastAsia="Times New Roman" w:hAnsi="Arial" w:cs="Arial"/>
          <w:color w:val="222222"/>
          <w:sz w:val="20"/>
          <w:szCs w:val="20"/>
        </w:rPr>
        <w:t xml:space="preserve">for </w:t>
      </w:r>
      <w:r w:rsidR="00E852ED">
        <w:rPr>
          <w:rFonts w:ascii="Arial" w:eastAsia="Times New Roman" w:hAnsi="Arial" w:cs="Arial"/>
          <w:color w:val="222222"/>
          <w:sz w:val="20"/>
          <w:szCs w:val="20"/>
        </w:rPr>
        <w:t xml:space="preserve">new </w:t>
      </w:r>
      <w:r w:rsidR="0099728E">
        <w:rPr>
          <w:rFonts w:ascii="Arial" w:eastAsia="Times New Roman" w:hAnsi="Arial" w:cs="Arial"/>
          <w:color w:val="222222"/>
          <w:sz w:val="20"/>
          <w:szCs w:val="20"/>
        </w:rPr>
        <w:t xml:space="preserve">3-year grants </w:t>
      </w:r>
      <w:r w:rsidR="00E852ED">
        <w:rPr>
          <w:rFonts w:ascii="Arial" w:eastAsia="Times New Roman" w:hAnsi="Arial" w:cs="Arial"/>
          <w:color w:val="222222"/>
          <w:sz w:val="20"/>
          <w:szCs w:val="20"/>
        </w:rPr>
        <w:t>and how many are resubmissions</w:t>
      </w:r>
      <w:r w:rsidR="0099728E">
        <w:rPr>
          <w:rFonts w:ascii="Arial" w:eastAsia="Times New Roman" w:hAnsi="Arial" w:cs="Arial"/>
          <w:color w:val="222222"/>
          <w:sz w:val="20"/>
          <w:szCs w:val="20"/>
        </w:rPr>
        <w:t xml:space="preserve"> following a failed proposal from the year before, </w:t>
      </w:r>
      <w:r w:rsidR="00E852ED">
        <w:rPr>
          <w:rFonts w:ascii="Arial" w:eastAsia="Times New Roman" w:hAnsi="Arial" w:cs="Arial"/>
          <w:color w:val="222222"/>
          <w:sz w:val="20"/>
          <w:szCs w:val="20"/>
        </w:rPr>
        <w:t xml:space="preserve">we can </w:t>
      </w:r>
      <w:r w:rsidR="009D7BCA">
        <w:rPr>
          <w:rFonts w:ascii="Arial" w:eastAsia="Times New Roman" w:hAnsi="Arial" w:cs="Arial"/>
          <w:color w:val="222222"/>
          <w:sz w:val="20"/>
          <w:szCs w:val="20"/>
        </w:rPr>
        <w:t>create</w:t>
      </w:r>
      <w:r w:rsidR="00E852ED">
        <w:rPr>
          <w:rFonts w:ascii="Arial" w:eastAsia="Times New Roman" w:hAnsi="Arial" w:cs="Arial"/>
          <w:color w:val="222222"/>
          <w:sz w:val="20"/>
          <w:szCs w:val="20"/>
        </w:rPr>
        <w:t xml:space="preserve"> quantitative models under </w:t>
      </w:r>
      <w:r w:rsidR="00511F92">
        <w:rPr>
          <w:rFonts w:ascii="Arial" w:eastAsia="Times New Roman" w:hAnsi="Arial" w:cs="Arial"/>
          <w:color w:val="222222"/>
          <w:sz w:val="20"/>
          <w:szCs w:val="20"/>
        </w:rPr>
        <w:t xml:space="preserve">some general assumptions. </w:t>
      </w:r>
      <w:r w:rsidR="00511F92" w:rsidRPr="003B10E0">
        <w:rPr>
          <w:rFonts w:ascii="Arial" w:eastAsia="Times New Roman" w:hAnsi="Arial" w:cs="Arial"/>
          <w:color w:val="222222"/>
          <w:sz w:val="20"/>
          <w:szCs w:val="20"/>
        </w:rPr>
        <w:t xml:space="preserve">For example, </w:t>
      </w:r>
      <w:r w:rsidR="0099728E">
        <w:rPr>
          <w:rFonts w:ascii="Arial" w:eastAsia="Times New Roman" w:hAnsi="Arial" w:cs="Arial"/>
          <w:color w:val="222222"/>
          <w:sz w:val="20"/>
          <w:szCs w:val="20"/>
        </w:rPr>
        <w:t xml:space="preserve">if we </w:t>
      </w:r>
      <w:r w:rsidR="00511F92" w:rsidRPr="003B10E0">
        <w:rPr>
          <w:rFonts w:ascii="Arial" w:eastAsia="Times New Roman" w:hAnsi="Arial" w:cs="Arial"/>
          <w:color w:val="222222"/>
          <w:sz w:val="20"/>
          <w:szCs w:val="20"/>
        </w:rPr>
        <w:t>assume that the number of new proposals</w:t>
      </w:r>
      <w:r w:rsidR="005E3198">
        <w:rPr>
          <w:rFonts w:ascii="Arial" w:eastAsia="Times New Roman" w:hAnsi="Arial" w:cs="Arial"/>
          <w:color w:val="222222"/>
          <w:sz w:val="20"/>
          <w:szCs w:val="20"/>
        </w:rPr>
        <w:t xml:space="preserve"> </w:t>
      </w:r>
      <w:r w:rsidR="0099728E">
        <w:rPr>
          <w:rFonts w:ascii="Arial" w:eastAsia="Times New Roman" w:hAnsi="Arial" w:cs="Arial"/>
          <w:color w:val="222222"/>
          <w:sz w:val="20"/>
          <w:szCs w:val="20"/>
        </w:rPr>
        <w:t xml:space="preserve">remains constant </w:t>
      </w:r>
      <w:r w:rsidR="00E852ED">
        <w:rPr>
          <w:rFonts w:ascii="Arial" w:eastAsia="Times New Roman" w:hAnsi="Arial" w:cs="Arial"/>
          <w:color w:val="222222"/>
          <w:sz w:val="20"/>
          <w:szCs w:val="20"/>
        </w:rPr>
        <w:t xml:space="preserve">each year and that the falling </w:t>
      </w:r>
      <w:r w:rsidR="00E852ED" w:rsidRPr="003B10E0">
        <w:rPr>
          <w:rFonts w:ascii="Arial" w:eastAsia="Times New Roman" w:hAnsi="Arial" w:cs="Arial"/>
          <w:color w:val="222222"/>
          <w:sz w:val="20"/>
          <w:szCs w:val="20"/>
        </w:rPr>
        <w:t>s</w:t>
      </w:r>
      <w:r w:rsidR="00E852ED">
        <w:rPr>
          <w:rFonts w:ascii="Arial" w:eastAsia="Times New Roman" w:hAnsi="Arial" w:cs="Arial"/>
          <w:color w:val="222222"/>
          <w:sz w:val="20"/>
          <w:szCs w:val="20"/>
        </w:rPr>
        <w:t>uccess rates</w:t>
      </w:r>
      <w:r w:rsidR="00363ADF">
        <w:rPr>
          <w:rFonts w:ascii="Arial" w:eastAsia="Times New Roman" w:hAnsi="Arial" w:cs="Arial"/>
          <w:color w:val="222222"/>
          <w:sz w:val="20"/>
          <w:szCs w:val="20"/>
        </w:rPr>
        <w:t xml:space="preserve"> of Figure 1 </w:t>
      </w:r>
      <w:r w:rsidR="00E852ED">
        <w:rPr>
          <w:rFonts w:ascii="Arial" w:eastAsia="Times New Roman" w:hAnsi="Arial" w:cs="Arial"/>
          <w:color w:val="222222"/>
          <w:sz w:val="20"/>
          <w:szCs w:val="20"/>
        </w:rPr>
        <w:t xml:space="preserve">are applied each year equally </w:t>
      </w:r>
      <w:r w:rsidR="00E852ED" w:rsidRPr="003B10E0">
        <w:rPr>
          <w:rFonts w:ascii="Arial" w:eastAsia="Times New Roman" w:hAnsi="Arial" w:cs="Arial"/>
          <w:color w:val="222222"/>
          <w:sz w:val="20"/>
          <w:szCs w:val="20"/>
        </w:rPr>
        <w:t>to the mi</w:t>
      </w:r>
      <w:r w:rsidR="00E852ED">
        <w:rPr>
          <w:rFonts w:ascii="Arial" w:eastAsia="Times New Roman" w:hAnsi="Arial" w:cs="Arial"/>
          <w:color w:val="222222"/>
          <w:sz w:val="20"/>
          <w:szCs w:val="20"/>
        </w:rPr>
        <w:t xml:space="preserve">x of new and repeat proposals, then the resubmission rate can be </w:t>
      </w:r>
      <w:r w:rsidR="0073645E">
        <w:rPr>
          <w:rFonts w:ascii="Arial" w:eastAsia="Times New Roman" w:hAnsi="Arial" w:cs="Arial"/>
          <w:color w:val="222222"/>
          <w:sz w:val="20"/>
          <w:szCs w:val="20"/>
        </w:rPr>
        <w:t xml:space="preserve">obtained. </w:t>
      </w:r>
      <w:r w:rsidR="001C760B">
        <w:rPr>
          <w:rFonts w:ascii="Arial" w:eastAsia="Times New Roman" w:hAnsi="Arial" w:cs="Arial"/>
          <w:color w:val="222222"/>
          <w:sz w:val="20"/>
          <w:szCs w:val="20"/>
        </w:rPr>
        <w:t xml:space="preserve"> U</w:t>
      </w:r>
      <w:r w:rsidR="0073645E">
        <w:rPr>
          <w:rFonts w:ascii="Arial" w:eastAsia="Times New Roman" w:hAnsi="Arial" w:cs="Arial"/>
          <w:color w:val="222222"/>
          <w:sz w:val="20"/>
          <w:szCs w:val="20"/>
        </w:rPr>
        <w:t>nder these conditions</w:t>
      </w:r>
      <w:r w:rsidR="001C760B">
        <w:rPr>
          <w:rFonts w:ascii="Arial" w:eastAsia="Times New Roman" w:hAnsi="Arial" w:cs="Arial"/>
          <w:color w:val="222222"/>
          <w:sz w:val="20"/>
          <w:szCs w:val="20"/>
        </w:rPr>
        <w:t>,</w:t>
      </w:r>
      <w:r w:rsidR="0073645E">
        <w:rPr>
          <w:rFonts w:ascii="Arial" w:eastAsia="Times New Roman" w:hAnsi="Arial" w:cs="Arial"/>
          <w:color w:val="222222"/>
          <w:sz w:val="20"/>
          <w:szCs w:val="20"/>
        </w:rPr>
        <w:t xml:space="preserve"> </w:t>
      </w:r>
      <w:r w:rsidR="001C760B">
        <w:rPr>
          <w:rFonts w:ascii="Arial" w:eastAsia="Times New Roman" w:hAnsi="Arial" w:cs="Arial"/>
          <w:color w:val="222222"/>
          <w:sz w:val="20"/>
          <w:szCs w:val="20"/>
        </w:rPr>
        <w:t xml:space="preserve">a simple fit </w:t>
      </w:r>
      <w:r w:rsidR="00E852ED">
        <w:rPr>
          <w:rFonts w:ascii="Arial" w:eastAsia="Times New Roman" w:hAnsi="Arial" w:cs="Arial"/>
          <w:color w:val="222222"/>
          <w:sz w:val="20"/>
          <w:szCs w:val="20"/>
        </w:rPr>
        <w:t>to the</w:t>
      </w:r>
      <w:r w:rsidR="00363ADF">
        <w:rPr>
          <w:rFonts w:ascii="Arial" w:eastAsia="Times New Roman" w:hAnsi="Arial" w:cs="Arial"/>
          <w:color w:val="222222"/>
          <w:sz w:val="20"/>
          <w:szCs w:val="20"/>
        </w:rPr>
        <w:t xml:space="preserve"> each-</w:t>
      </w:r>
      <w:r w:rsidR="0073645E">
        <w:rPr>
          <w:rFonts w:ascii="Arial" w:eastAsia="Times New Roman" w:hAnsi="Arial" w:cs="Arial"/>
          <w:color w:val="222222"/>
          <w:sz w:val="20"/>
          <w:szCs w:val="20"/>
        </w:rPr>
        <w:t>year and 3-year submission rate</w:t>
      </w:r>
      <w:r w:rsidR="00363ADF">
        <w:rPr>
          <w:rFonts w:ascii="Arial" w:eastAsia="Times New Roman" w:hAnsi="Arial" w:cs="Arial"/>
          <w:color w:val="222222"/>
          <w:sz w:val="20"/>
          <w:szCs w:val="20"/>
        </w:rPr>
        <w:t xml:space="preserve"> data </w:t>
      </w:r>
      <w:r w:rsidR="0073645E">
        <w:rPr>
          <w:rFonts w:ascii="Arial" w:eastAsia="Times New Roman" w:hAnsi="Arial" w:cs="Arial"/>
          <w:color w:val="222222"/>
          <w:sz w:val="20"/>
          <w:szCs w:val="20"/>
        </w:rPr>
        <w:t xml:space="preserve">in Figure 2 yields a </w:t>
      </w:r>
      <w:r w:rsidR="00511F92" w:rsidRPr="003B10E0">
        <w:rPr>
          <w:rFonts w:ascii="Arial" w:eastAsia="Times New Roman" w:hAnsi="Arial" w:cs="Arial"/>
          <w:color w:val="222222"/>
          <w:sz w:val="20"/>
          <w:szCs w:val="20"/>
        </w:rPr>
        <w:t>70%</w:t>
      </w:r>
      <w:r w:rsidR="0073645E">
        <w:rPr>
          <w:rFonts w:ascii="Arial" w:eastAsia="Times New Roman" w:hAnsi="Arial" w:cs="Arial"/>
          <w:color w:val="222222"/>
          <w:sz w:val="20"/>
          <w:szCs w:val="20"/>
        </w:rPr>
        <w:t xml:space="preserve"> resubmission rate. </w:t>
      </w:r>
      <w:r w:rsidR="001C760B">
        <w:rPr>
          <w:rFonts w:ascii="Arial" w:eastAsia="Times New Roman" w:hAnsi="Arial" w:cs="Arial"/>
          <w:color w:val="222222"/>
          <w:sz w:val="20"/>
          <w:szCs w:val="20"/>
        </w:rPr>
        <w:t xml:space="preserve"> To interpret this result, imagine that </w:t>
      </w:r>
      <w:r w:rsidR="00511F92" w:rsidRPr="003B10E0">
        <w:rPr>
          <w:rFonts w:ascii="Arial" w:eastAsia="Times New Roman" w:hAnsi="Arial" w:cs="Arial"/>
          <w:color w:val="222222"/>
          <w:sz w:val="20"/>
          <w:szCs w:val="20"/>
        </w:rPr>
        <w:t>the number of new proposals and re</w:t>
      </w:r>
      <w:r w:rsidR="0073645E">
        <w:rPr>
          <w:rFonts w:ascii="Arial" w:eastAsia="Times New Roman" w:hAnsi="Arial" w:cs="Arial"/>
          <w:color w:val="222222"/>
          <w:sz w:val="20"/>
          <w:szCs w:val="20"/>
        </w:rPr>
        <w:t>submitted</w:t>
      </w:r>
      <w:r w:rsidR="00511F92" w:rsidRPr="003B10E0">
        <w:rPr>
          <w:rFonts w:ascii="Arial" w:eastAsia="Times New Roman" w:hAnsi="Arial" w:cs="Arial"/>
          <w:color w:val="222222"/>
          <w:sz w:val="20"/>
          <w:szCs w:val="20"/>
        </w:rPr>
        <w:t xml:space="preserve"> proposals </w:t>
      </w:r>
      <w:r w:rsidR="0073645E">
        <w:rPr>
          <w:rFonts w:ascii="Arial" w:eastAsia="Times New Roman" w:hAnsi="Arial" w:cs="Arial"/>
          <w:color w:val="222222"/>
          <w:sz w:val="20"/>
          <w:szCs w:val="20"/>
        </w:rPr>
        <w:t xml:space="preserve">had been </w:t>
      </w:r>
      <w:r w:rsidR="00511F92" w:rsidRPr="003B10E0">
        <w:rPr>
          <w:rFonts w:ascii="Arial" w:eastAsia="Times New Roman" w:hAnsi="Arial" w:cs="Arial"/>
          <w:color w:val="222222"/>
          <w:sz w:val="20"/>
          <w:szCs w:val="20"/>
        </w:rPr>
        <w:t>equal in 2008</w:t>
      </w:r>
      <w:r w:rsidR="001C760B">
        <w:rPr>
          <w:rFonts w:ascii="Arial" w:eastAsia="Times New Roman" w:hAnsi="Arial" w:cs="Arial"/>
          <w:color w:val="222222"/>
          <w:sz w:val="20"/>
          <w:szCs w:val="20"/>
        </w:rPr>
        <w:t xml:space="preserve"> (not unreasonable)</w:t>
      </w:r>
      <w:r w:rsidR="0073645E">
        <w:rPr>
          <w:rFonts w:ascii="Arial" w:eastAsia="Times New Roman" w:hAnsi="Arial" w:cs="Arial"/>
          <w:color w:val="222222"/>
          <w:sz w:val="20"/>
          <w:szCs w:val="20"/>
        </w:rPr>
        <w:t xml:space="preserve">, </w:t>
      </w:r>
      <w:proofErr w:type="gramStart"/>
      <w:r w:rsidR="0073645E">
        <w:rPr>
          <w:rFonts w:ascii="Arial" w:eastAsia="Times New Roman" w:hAnsi="Arial" w:cs="Arial"/>
          <w:color w:val="222222"/>
          <w:sz w:val="20"/>
          <w:szCs w:val="20"/>
        </w:rPr>
        <w:t>then</w:t>
      </w:r>
      <w:proofErr w:type="gramEnd"/>
      <w:r w:rsidR="0073645E">
        <w:rPr>
          <w:rFonts w:ascii="Arial" w:eastAsia="Times New Roman" w:hAnsi="Arial" w:cs="Arial"/>
          <w:color w:val="222222"/>
          <w:sz w:val="20"/>
          <w:szCs w:val="20"/>
        </w:rPr>
        <w:t xml:space="preserve"> </w:t>
      </w:r>
      <w:r w:rsidR="00511F92" w:rsidRPr="003B10E0">
        <w:rPr>
          <w:rFonts w:ascii="Arial" w:eastAsia="Times New Roman" w:hAnsi="Arial" w:cs="Arial"/>
          <w:color w:val="222222"/>
          <w:sz w:val="20"/>
          <w:szCs w:val="20"/>
        </w:rPr>
        <w:t>by 2014 the number of new proposals would be only 4</w:t>
      </w:r>
      <w:r w:rsidR="00F67241">
        <w:rPr>
          <w:rFonts w:ascii="Arial" w:eastAsia="Times New Roman" w:hAnsi="Arial" w:cs="Arial"/>
          <w:color w:val="222222"/>
          <w:sz w:val="20"/>
          <w:szCs w:val="20"/>
        </w:rPr>
        <w:t>0% of all submitted proposals.</w:t>
      </w:r>
      <w:r w:rsidR="001605D0">
        <w:rPr>
          <w:rFonts w:ascii="Arial" w:eastAsia="Times New Roman" w:hAnsi="Arial" w:cs="Arial"/>
          <w:color w:val="222222"/>
          <w:sz w:val="20"/>
          <w:szCs w:val="20"/>
        </w:rPr>
        <w:t xml:space="preserve"> </w:t>
      </w:r>
      <w:r w:rsidR="001C760B">
        <w:rPr>
          <w:rFonts w:ascii="Arial" w:eastAsia="Times New Roman" w:hAnsi="Arial" w:cs="Arial"/>
          <w:color w:val="222222"/>
          <w:sz w:val="20"/>
          <w:szCs w:val="20"/>
        </w:rPr>
        <w:t xml:space="preserve">Thus, </w:t>
      </w:r>
      <w:r w:rsidR="0073645E">
        <w:rPr>
          <w:rFonts w:ascii="Arial" w:eastAsia="Times New Roman" w:hAnsi="Arial" w:cs="Arial"/>
          <w:color w:val="222222"/>
          <w:sz w:val="20"/>
          <w:szCs w:val="20"/>
        </w:rPr>
        <w:t xml:space="preserve">resubmission </w:t>
      </w:r>
      <w:r w:rsidR="001C760B">
        <w:rPr>
          <w:rFonts w:ascii="Arial" w:eastAsia="Times New Roman" w:hAnsi="Arial" w:cs="Arial"/>
          <w:color w:val="222222"/>
          <w:sz w:val="20"/>
          <w:szCs w:val="20"/>
        </w:rPr>
        <w:t>in general has the</w:t>
      </w:r>
      <w:r w:rsidR="0073645E">
        <w:rPr>
          <w:rFonts w:ascii="Arial" w:eastAsia="Times New Roman" w:hAnsi="Arial" w:cs="Arial"/>
          <w:color w:val="222222"/>
          <w:sz w:val="20"/>
          <w:szCs w:val="20"/>
        </w:rPr>
        <w:t xml:space="preserve"> </w:t>
      </w:r>
      <w:r w:rsidR="003071FC">
        <w:rPr>
          <w:rFonts w:ascii="Arial" w:eastAsia="Times New Roman" w:hAnsi="Arial" w:cs="Arial"/>
          <w:color w:val="222222"/>
          <w:sz w:val="20"/>
          <w:szCs w:val="20"/>
        </w:rPr>
        <w:t xml:space="preserve">secondary effect of </w:t>
      </w:r>
      <w:r w:rsidR="00511F92" w:rsidRPr="003B10E0">
        <w:rPr>
          <w:rFonts w:ascii="Arial" w:eastAsia="Times New Roman" w:hAnsi="Arial" w:cs="Arial"/>
          <w:color w:val="222222"/>
          <w:sz w:val="20"/>
          <w:szCs w:val="20"/>
        </w:rPr>
        <w:t>driving up the number of proposals and driving down the success rates even further</w:t>
      </w:r>
      <w:r w:rsidR="0073645E">
        <w:rPr>
          <w:rFonts w:ascii="Arial" w:eastAsia="Times New Roman" w:hAnsi="Arial" w:cs="Arial"/>
          <w:color w:val="222222"/>
          <w:sz w:val="20"/>
          <w:szCs w:val="20"/>
        </w:rPr>
        <w:t xml:space="preserve">. </w:t>
      </w:r>
      <w:r w:rsidR="003071FC">
        <w:rPr>
          <w:rFonts w:ascii="Arial" w:eastAsia="Times New Roman" w:hAnsi="Arial" w:cs="Arial"/>
          <w:color w:val="222222"/>
          <w:sz w:val="20"/>
          <w:szCs w:val="20"/>
        </w:rPr>
        <w:t xml:space="preserve"> </w:t>
      </w:r>
      <w:r w:rsidR="0073645E">
        <w:rPr>
          <w:rFonts w:ascii="Arial" w:eastAsia="Times New Roman" w:hAnsi="Arial" w:cs="Arial"/>
          <w:color w:val="222222"/>
          <w:sz w:val="20"/>
          <w:szCs w:val="20"/>
        </w:rPr>
        <w:t>P</w:t>
      </w:r>
      <w:r w:rsidR="003071FC">
        <w:rPr>
          <w:rFonts w:ascii="Arial" w:eastAsia="Times New Roman" w:hAnsi="Arial" w:cs="Arial"/>
          <w:color w:val="222222"/>
          <w:sz w:val="20"/>
          <w:szCs w:val="20"/>
        </w:rPr>
        <w:t>reviously</w:t>
      </w:r>
      <w:r w:rsidR="001C760B">
        <w:rPr>
          <w:rFonts w:ascii="Arial" w:eastAsia="Times New Roman" w:hAnsi="Arial" w:cs="Arial"/>
          <w:color w:val="222222"/>
          <w:sz w:val="20"/>
          <w:szCs w:val="20"/>
        </w:rPr>
        <w:t>,</w:t>
      </w:r>
      <w:r w:rsidR="003071FC">
        <w:rPr>
          <w:rFonts w:ascii="Arial" w:eastAsia="Times New Roman" w:hAnsi="Arial" w:cs="Arial"/>
          <w:color w:val="222222"/>
          <w:sz w:val="20"/>
          <w:szCs w:val="20"/>
        </w:rPr>
        <w:t xml:space="preserve"> a larger </w:t>
      </w:r>
      <w:r w:rsidR="00FF26AF">
        <w:rPr>
          <w:rFonts w:ascii="Arial" w:eastAsia="Times New Roman" w:hAnsi="Arial" w:cs="Arial"/>
          <w:color w:val="222222"/>
          <w:sz w:val="20"/>
          <w:szCs w:val="20"/>
        </w:rPr>
        <w:t>fraction</w:t>
      </w:r>
      <w:r w:rsidR="003071FC">
        <w:rPr>
          <w:rFonts w:ascii="Arial" w:eastAsia="Times New Roman" w:hAnsi="Arial" w:cs="Arial"/>
          <w:color w:val="222222"/>
          <w:sz w:val="20"/>
          <w:szCs w:val="20"/>
        </w:rPr>
        <w:t xml:space="preserve"> of investigators could submit funding proposals roughly every 3 years, whereas now they increasingly </w:t>
      </w:r>
      <w:r w:rsidR="00BE21F8">
        <w:rPr>
          <w:rFonts w:ascii="Arial" w:eastAsia="Times New Roman" w:hAnsi="Arial" w:cs="Arial"/>
          <w:color w:val="222222"/>
          <w:sz w:val="20"/>
          <w:szCs w:val="20"/>
        </w:rPr>
        <w:t>(</w:t>
      </w:r>
      <w:proofErr w:type="gramStart"/>
      <w:r w:rsidR="00BE21F8">
        <w:rPr>
          <w:rFonts w:ascii="Arial" w:eastAsia="Times New Roman" w:hAnsi="Arial" w:cs="Arial"/>
          <w:color w:val="222222"/>
          <w:sz w:val="20"/>
          <w:szCs w:val="20"/>
        </w:rPr>
        <w:t>re)</w:t>
      </w:r>
      <w:r w:rsidR="003071FC">
        <w:rPr>
          <w:rFonts w:ascii="Arial" w:eastAsia="Times New Roman" w:hAnsi="Arial" w:cs="Arial"/>
          <w:color w:val="222222"/>
          <w:sz w:val="20"/>
          <w:szCs w:val="20"/>
        </w:rPr>
        <w:t>propose</w:t>
      </w:r>
      <w:proofErr w:type="gramEnd"/>
      <w:r w:rsidR="003071FC">
        <w:rPr>
          <w:rFonts w:ascii="Arial" w:eastAsia="Times New Roman" w:hAnsi="Arial" w:cs="Arial"/>
          <w:color w:val="222222"/>
          <w:sz w:val="20"/>
          <w:szCs w:val="20"/>
        </w:rPr>
        <w:t xml:space="preserve"> in consecutive years</w:t>
      </w:r>
      <w:r w:rsidR="006342CB">
        <w:rPr>
          <w:rFonts w:ascii="Arial" w:eastAsia="Times New Roman" w:hAnsi="Arial" w:cs="Arial"/>
          <w:color w:val="222222"/>
          <w:sz w:val="20"/>
          <w:szCs w:val="20"/>
        </w:rPr>
        <w:t>, for some (as yet unknown) number of years</w:t>
      </w:r>
      <w:r w:rsidR="00511F92" w:rsidRPr="003B10E0">
        <w:rPr>
          <w:rFonts w:ascii="Arial" w:eastAsia="Times New Roman" w:hAnsi="Arial" w:cs="Arial"/>
          <w:color w:val="222222"/>
          <w:sz w:val="20"/>
          <w:szCs w:val="20"/>
        </w:rPr>
        <w:t>.</w:t>
      </w:r>
      <w:r w:rsidR="0033079F">
        <w:rPr>
          <w:rFonts w:ascii="Arial" w:eastAsia="Times New Roman" w:hAnsi="Arial" w:cs="Arial"/>
          <w:color w:val="222222"/>
          <w:sz w:val="20"/>
          <w:szCs w:val="20"/>
        </w:rPr>
        <w:t xml:space="preserve"> We revisit the issue of repeat submissions and success rates below. </w:t>
      </w:r>
    </w:p>
    <w:p w14:paraId="482C6C2B" w14:textId="77777777" w:rsidR="00D44893" w:rsidRDefault="00D44893" w:rsidP="005C5FEC">
      <w:pPr>
        <w:shd w:val="clear" w:color="auto" w:fill="FFFFFF"/>
        <w:spacing w:after="0" w:line="240" w:lineRule="auto"/>
        <w:rPr>
          <w:rFonts w:ascii="Arial" w:eastAsia="Times New Roman" w:hAnsi="Arial" w:cs="Arial"/>
          <w:color w:val="222222"/>
          <w:sz w:val="20"/>
          <w:szCs w:val="20"/>
        </w:rPr>
      </w:pPr>
      <w:r w:rsidRPr="00D44893">
        <w:rPr>
          <w:rFonts w:ascii="Arial" w:eastAsia="Times New Roman" w:hAnsi="Arial" w:cs="Arial"/>
          <w:noProof/>
          <w:color w:val="222222"/>
          <w:sz w:val="20"/>
          <w:szCs w:val="20"/>
        </w:rPr>
        <w:drawing>
          <wp:inline distT="0" distB="0" distL="0" distR="0" wp14:anchorId="73DAF65A" wp14:editId="2630E7E2">
            <wp:extent cx="5942965" cy="2158889"/>
            <wp:effectExtent l="25400" t="25400" r="26035" b="260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nsSlidesExtract2.pdf"/>
                    <pic:cNvPicPr/>
                  </pic:nvPicPr>
                  <pic:blipFill rotWithShape="1">
                    <a:blip r:embed="rId10">
                      <a:extLst>
                        <a:ext uri="{28A0092B-C50C-407E-A947-70E740481C1C}">
                          <a14:useLocalDpi xmlns:a14="http://schemas.microsoft.com/office/drawing/2010/main" val="0"/>
                        </a:ext>
                      </a:extLst>
                    </a:blip>
                    <a:srcRect t="11776" b="40928"/>
                    <a:stretch/>
                  </pic:blipFill>
                  <pic:spPr bwMode="auto">
                    <a:xfrm>
                      <a:off x="0" y="0"/>
                      <a:ext cx="5943600" cy="2159120"/>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14:paraId="6B3E8788" w14:textId="77777777" w:rsidR="00D44893" w:rsidRDefault="004B299C" w:rsidP="0020142F">
      <w:pPr>
        <w:shd w:val="clear" w:color="auto" w:fill="FFFFFF"/>
        <w:spacing w:after="0" w:line="240" w:lineRule="auto"/>
        <w:jc w:val="both"/>
        <w:rPr>
          <w:rFonts w:ascii="Arial" w:eastAsia="Times New Roman" w:hAnsi="Arial" w:cs="Arial"/>
          <w:i/>
          <w:color w:val="222222"/>
          <w:sz w:val="20"/>
          <w:szCs w:val="20"/>
        </w:rPr>
      </w:pPr>
      <w:r w:rsidRPr="002844B3">
        <w:rPr>
          <w:rFonts w:ascii="Arial" w:eastAsia="Times New Roman" w:hAnsi="Arial" w:cs="Arial"/>
          <w:b/>
          <w:i/>
          <w:color w:val="222222"/>
          <w:sz w:val="20"/>
          <w:szCs w:val="20"/>
        </w:rPr>
        <w:t>Figure 2</w:t>
      </w:r>
      <w:r w:rsidR="00D44893" w:rsidRPr="002844B3">
        <w:rPr>
          <w:rFonts w:ascii="Arial" w:eastAsia="Times New Roman" w:hAnsi="Arial" w:cs="Arial"/>
          <w:b/>
          <w:i/>
          <w:color w:val="222222"/>
          <w:sz w:val="20"/>
          <w:szCs w:val="20"/>
        </w:rPr>
        <w:t>.</w:t>
      </w:r>
      <w:r w:rsidR="00D44893" w:rsidRPr="003B10E0">
        <w:rPr>
          <w:rFonts w:ascii="Arial" w:eastAsia="Times New Roman" w:hAnsi="Arial" w:cs="Arial"/>
          <w:i/>
          <w:color w:val="222222"/>
          <w:sz w:val="20"/>
          <w:szCs w:val="20"/>
        </w:rPr>
        <w:t xml:space="preserve"> Trending plots showing the number of unique individuals submitting to NSF/AST AAG program as PI each year, as well as the sum over 3 years corresponding to a typical grant cycle. Declined proposals can be re-submitted the next year, but PIs with accepted proposals will not resubmit for the same project until after </w:t>
      </w:r>
      <w:r w:rsidR="00967E20" w:rsidRPr="003B10E0">
        <w:rPr>
          <w:rFonts w:ascii="Arial" w:eastAsia="Times New Roman" w:hAnsi="Arial" w:cs="Arial"/>
          <w:i/>
          <w:color w:val="222222"/>
          <w:sz w:val="20"/>
          <w:szCs w:val="20"/>
        </w:rPr>
        <w:t xml:space="preserve">(typically) </w:t>
      </w:r>
      <w:r w:rsidR="00D44893" w:rsidRPr="003B10E0">
        <w:rPr>
          <w:rFonts w:ascii="Arial" w:eastAsia="Times New Roman" w:hAnsi="Arial" w:cs="Arial"/>
          <w:i/>
          <w:color w:val="222222"/>
          <w:sz w:val="20"/>
          <w:szCs w:val="20"/>
        </w:rPr>
        <w:t>3 years.</w:t>
      </w:r>
    </w:p>
    <w:p w14:paraId="068784FB" w14:textId="77777777" w:rsidR="00603E75" w:rsidRPr="003B10E0" w:rsidRDefault="00603E75" w:rsidP="0020142F">
      <w:pPr>
        <w:shd w:val="clear" w:color="auto" w:fill="FFFFFF"/>
        <w:spacing w:after="0" w:line="240" w:lineRule="auto"/>
        <w:jc w:val="both"/>
        <w:rPr>
          <w:rFonts w:ascii="Arial" w:eastAsia="Times New Roman" w:hAnsi="Arial" w:cs="Arial"/>
          <w:i/>
          <w:color w:val="222222"/>
          <w:sz w:val="20"/>
          <w:szCs w:val="20"/>
        </w:rPr>
      </w:pPr>
    </w:p>
    <w:p w14:paraId="58E26B69" w14:textId="0ED376D8" w:rsidR="005C5FEC" w:rsidRDefault="006470B7" w:rsidP="004C1B7A">
      <w:pPr>
        <w:shd w:val="clear" w:color="auto" w:fill="FFFFFF"/>
        <w:spacing w:before="240" w:after="60" w:line="240" w:lineRule="auto"/>
        <w:rPr>
          <w:rFonts w:ascii="Arial" w:eastAsia="Times New Roman" w:hAnsi="Arial" w:cs="Arial"/>
          <w:b/>
          <w:bCs/>
          <w:color w:val="222222"/>
          <w:u w:val="single"/>
        </w:rPr>
      </w:pPr>
      <w:r>
        <w:rPr>
          <w:rFonts w:ascii="Arial" w:eastAsia="Times New Roman" w:hAnsi="Arial" w:cs="Arial"/>
          <w:b/>
          <w:bCs/>
          <w:color w:val="222222"/>
        </w:rPr>
        <w:t>3</w:t>
      </w:r>
      <w:r w:rsidR="00107795" w:rsidRPr="00107795">
        <w:rPr>
          <w:rFonts w:ascii="Arial" w:eastAsia="Times New Roman" w:hAnsi="Arial" w:cs="Arial"/>
          <w:b/>
          <w:bCs/>
          <w:color w:val="222222"/>
        </w:rPr>
        <w:t xml:space="preserve">. </w:t>
      </w:r>
      <w:r w:rsidR="000D5EF0" w:rsidRPr="00B948ED">
        <w:rPr>
          <w:rFonts w:ascii="Arial" w:eastAsia="Times New Roman" w:hAnsi="Arial" w:cs="Arial"/>
          <w:b/>
          <w:bCs/>
          <w:color w:val="222222"/>
          <w:u w:val="single"/>
        </w:rPr>
        <w:t xml:space="preserve">What </w:t>
      </w:r>
      <w:r w:rsidR="00741BB4" w:rsidRPr="00B948ED">
        <w:rPr>
          <w:rFonts w:ascii="Arial" w:eastAsia="Times New Roman" w:hAnsi="Arial" w:cs="Arial"/>
          <w:b/>
          <w:bCs/>
          <w:color w:val="222222"/>
          <w:u w:val="single"/>
        </w:rPr>
        <w:t>should be</w:t>
      </w:r>
      <w:r w:rsidR="000D5EF0" w:rsidRPr="00B948ED">
        <w:rPr>
          <w:rFonts w:ascii="Arial" w:eastAsia="Times New Roman" w:hAnsi="Arial" w:cs="Arial"/>
          <w:b/>
          <w:bCs/>
          <w:color w:val="222222"/>
          <w:u w:val="single"/>
        </w:rPr>
        <w:t xml:space="preserve"> the minimal</w:t>
      </w:r>
      <w:r w:rsidR="00BF56B3" w:rsidRPr="00B948ED">
        <w:rPr>
          <w:rFonts w:ascii="Arial" w:eastAsia="Times New Roman" w:hAnsi="Arial" w:cs="Arial"/>
          <w:b/>
          <w:bCs/>
          <w:color w:val="222222"/>
          <w:u w:val="single"/>
        </w:rPr>
        <w:t>ly</w:t>
      </w:r>
      <w:r w:rsidR="000D5EF0" w:rsidRPr="00B948ED">
        <w:rPr>
          <w:rFonts w:ascii="Arial" w:eastAsia="Times New Roman" w:hAnsi="Arial" w:cs="Arial"/>
          <w:b/>
          <w:bCs/>
          <w:color w:val="222222"/>
          <w:u w:val="single"/>
        </w:rPr>
        <w:t xml:space="preserve"> acceptable funding rate for meritorious science? </w:t>
      </w:r>
    </w:p>
    <w:p w14:paraId="013F707E" w14:textId="0EB1E97E" w:rsidR="0081161E" w:rsidRDefault="004E634D" w:rsidP="005C5FEC">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rPr>
        <w:br/>
      </w:r>
      <w:r w:rsidR="005A02FE">
        <w:rPr>
          <w:rFonts w:ascii="Arial" w:eastAsia="Times New Roman" w:hAnsi="Arial" w:cs="Arial"/>
          <w:color w:val="222222"/>
          <w:sz w:val="20"/>
          <w:szCs w:val="20"/>
        </w:rPr>
        <w:t>Having established that the steady decli</w:t>
      </w:r>
      <w:r w:rsidR="003457E3">
        <w:rPr>
          <w:rFonts w:ascii="Arial" w:eastAsia="Times New Roman" w:hAnsi="Arial" w:cs="Arial"/>
          <w:color w:val="222222"/>
          <w:sz w:val="20"/>
          <w:szCs w:val="20"/>
        </w:rPr>
        <w:t>ne in proposal success rates is</w:t>
      </w:r>
      <w:r w:rsidR="005A02FE">
        <w:rPr>
          <w:rFonts w:ascii="Arial" w:eastAsia="Times New Roman" w:hAnsi="Arial" w:cs="Arial"/>
          <w:color w:val="222222"/>
          <w:sz w:val="20"/>
          <w:szCs w:val="20"/>
        </w:rPr>
        <w:t xml:space="preserve"> not being driven principally by changes in propo</w:t>
      </w:r>
      <w:r w:rsidR="00156300">
        <w:rPr>
          <w:rFonts w:ascii="Arial" w:eastAsia="Times New Roman" w:hAnsi="Arial" w:cs="Arial"/>
          <w:color w:val="222222"/>
          <w:sz w:val="20"/>
          <w:szCs w:val="20"/>
        </w:rPr>
        <w:t>ser demographics</w:t>
      </w:r>
      <w:r w:rsidR="005A02FE">
        <w:rPr>
          <w:rFonts w:ascii="Arial" w:eastAsia="Times New Roman" w:hAnsi="Arial" w:cs="Arial"/>
          <w:color w:val="222222"/>
          <w:sz w:val="20"/>
          <w:szCs w:val="20"/>
        </w:rPr>
        <w:t xml:space="preserve">, </w:t>
      </w:r>
      <w:r w:rsidR="00156300">
        <w:rPr>
          <w:rFonts w:ascii="Arial" w:eastAsia="Times New Roman" w:hAnsi="Arial" w:cs="Arial"/>
          <w:color w:val="222222"/>
          <w:sz w:val="20"/>
          <w:szCs w:val="20"/>
        </w:rPr>
        <w:t xml:space="preserve">nor in the merit of the science proposed, </w:t>
      </w:r>
      <w:r w:rsidR="003C2958">
        <w:rPr>
          <w:rFonts w:ascii="Arial" w:eastAsia="Times New Roman" w:hAnsi="Arial" w:cs="Arial"/>
          <w:color w:val="222222"/>
          <w:sz w:val="20"/>
          <w:szCs w:val="20"/>
        </w:rPr>
        <w:t>w</w:t>
      </w:r>
      <w:r w:rsidR="00A95AB6">
        <w:rPr>
          <w:rFonts w:ascii="Arial" w:eastAsia="Times New Roman" w:hAnsi="Arial" w:cs="Arial"/>
          <w:color w:val="222222"/>
          <w:sz w:val="20"/>
          <w:szCs w:val="20"/>
        </w:rPr>
        <w:t xml:space="preserve">e conclude that, in the current funding state, </w:t>
      </w:r>
      <w:r w:rsidR="002B5557">
        <w:rPr>
          <w:rFonts w:ascii="Arial" w:eastAsia="Times New Roman" w:hAnsi="Arial" w:cs="Arial"/>
          <w:color w:val="222222"/>
          <w:sz w:val="20"/>
          <w:szCs w:val="20"/>
        </w:rPr>
        <w:t xml:space="preserve">there is untapped potential resulting in loss of </w:t>
      </w:r>
      <w:r w:rsidR="003457E3">
        <w:rPr>
          <w:rFonts w:ascii="Arial" w:eastAsia="Times New Roman" w:hAnsi="Arial" w:cs="Arial"/>
          <w:color w:val="222222"/>
          <w:sz w:val="20"/>
          <w:szCs w:val="20"/>
        </w:rPr>
        <w:t>valuable scientific research</w:t>
      </w:r>
      <w:r w:rsidR="002B5557">
        <w:rPr>
          <w:rFonts w:ascii="Arial" w:eastAsia="Times New Roman" w:hAnsi="Arial" w:cs="Arial"/>
          <w:color w:val="222222"/>
          <w:sz w:val="20"/>
          <w:szCs w:val="20"/>
        </w:rPr>
        <w:t xml:space="preserve">.  </w:t>
      </w:r>
      <w:r w:rsidR="00A95EE8">
        <w:rPr>
          <w:rFonts w:ascii="Arial" w:eastAsia="Times New Roman" w:hAnsi="Arial" w:cs="Arial"/>
          <w:color w:val="222222"/>
          <w:sz w:val="20"/>
          <w:szCs w:val="20"/>
        </w:rPr>
        <w:t xml:space="preserve">The </w:t>
      </w:r>
      <w:proofErr w:type="gramStart"/>
      <w:r w:rsidR="00A95EE8">
        <w:rPr>
          <w:rFonts w:ascii="Arial" w:eastAsia="Times New Roman" w:hAnsi="Arial" w:cs="Arial"/>
          <w:color w:val="222222"/>
          <w:sz w:val="20"/>
          <w:szCs w:val="20"/>
        </w:rPr>
        <w:t>publicly-</w:t>
      </w:r>
      <w:r w:rsidR="00A95EE8" w:rsidRPr="00A95EE8">
        <w:rPr>
          <w:rFonts w:ascii="Arial" w:eastAsia="Times New Roman" w:hAnsi="Arial" w:cs="Arial"/>
          <w:color w:val="222222"/>
          <w:sz w:val="20"/>
          <w:szCs w:val="20"/>
        </w:rPr>
        <w:t>owned</w:t>
      </w:r>
      <w:proofErr w:type="gramEnd"/>
      <w:r w:rsidR="00A95EE8" w:rsidRPr="00A95EE8">
        <w:rPr>
          <w:rFonts w:ascii="Arial" w:eastAsia="Times New Roman" w:hAnsi="Arial" w:cs="Arial"/>
          <w:color w:val="222222"/>
          <w:sz w:val="20"/>
          <w:szCs w:val="20"/>
        </w:rPr>
        <w:t xml:space="preserve"> data products generated from </w:t>
      </w:r>
      <w:r w:rsidR="00A95EE8">
        <w:rPr>
          <w:rFonts w:ascii="Arial" w:eastAsia="Times New Roman" w:hAnsi="Arial" w:cs="Arial"/>
          <w:color w:val="222222"/>
          <w:sz w:val="20"/>
          <w:szCs w:val="20"/>
        </w:rPr>
        <w:t>f</w:t>
      </w:r>
      <w:r w:rsidR="002B5557">
        <w:rPr>
          <w:rFonts w:ascii="Arial" w:eastAsia="Times New Roman" w:hAnsi="Arial" w:cs="Arial"/>
          <w:color w:val="222222"/>
          <w:sz w:val="20"/>
          <w:szCs w:val="20"/>
        </w:rPr>
        <w:t xml:space="preserve">irst-rate </w:t>
      </w:r>
      <w:r w:rsidR="00A95AB6">
        <w:rPr>
          <w:rFonts w:ascii="Arial" w:eastAsia="Times New Roman" w:hAnsi="Arial" w:cs="Arial"/>
          <w:color w:val="222222"/>
          <w:sz w:val="20"/>
          <w:szCs w:val="20"/>
        </w:rPr>
        <w:t>astronomical assets, f</w:t>
      </w:r>
      <w:r w:rsidR="000F1EC8">
        <w:rPr>
          <w:rFonts w:ascii="Arial" w:eastAsia="Times New Roman" w:hAnsi="Arial" w:cs="Arial"/>
          <w:color w:val="222222"/>
          <w:sz w:val="20"/>
          <w:szCs w:val="20"/>
        </w:rPr>
        <w:t>acil</w:t>
      </w:r>
      <w:r w:rsidR="008B6689">
        <w:rPr>
          <w:rFonts w:ascii="Arial" w:eastAsia="Times New Roman" w:hAnsi="Arial" w:cs="Arial"/>
          <w:color w:val="222222"/>
          <w:sz w:val="20"/>
          <w:szCs w:val="20"/>
        </w:rPr>
        <w:t>ities</w:t>
      </w:r>
      <w:r w:rsidR="00A95AB6">
        <w:rPr>
          <w:rFonts w:ascii="Arial" w:eastAsia="Times New Roman" w:hAnsi="Arial" w:cs="Arial"/>
          <w:color w:val="222222"/>
          <w:sz w:val="20"/>
          <w:szCs w:val="20"/>
        </w:rPr>
        <w:t>, and mis</w:t>
      </w:r>
      <w:r w:rsidR="002B5557">
        <w:rPr>
          <w:rFonts w:ascii="Arial" w:eastAsia="Times New Roman" w:hAnsi="Arial" w:cs="Arial"/>
          <w:color w:val="222222"/>
          <w:sz w:val="20"/>
          <w:szCs w:val="20"/>
        </w:rPr>
        <w:t>s</w:t>
      </w:r>
      <w:r w:rsidR="00A95AB6">
        <w:rPr>
          <w:rFonts w:ascii="Arial" w:eastAsia="Times New Roman" w:hAnsi="Arial" w:cs="Arial"/>
          <w:color w:val="222222"/>
          <w:sz w:val="20"/>
          <w:szCs w:val="20"/>
        </w:rPr>
        <w:t>ions</w:t>
      </w:r>
      <w:r w:rsidR="008B6689">
        <w:rPr>
          <w:rFonts w:ascii="Arial" w:eastAsia="Times New Roman" w:hAnsi="Arial" w:cs="Arial"/>
          <w:color w:val="222222"/>
          <w:sz w:val="20"/>
          <w:szCs w:val="20"/>
        </w:rPr>
        <w:t xml:space="preserve"> are being under-utilized,</w:t>
      </w:r>
      <w:r w:rsidR="000F1EC8">
        <w:rPr>
          <w:rFonts w:ascii="Arial" w:eastAsia="Times New Roman" w:hAnsi="Arial" w:cs="Arial"/>
          <w:color w:val="222222"/>
          <w:sz w:val="20"/>
          <w:szCs w:val="20"/>
        </w:rPr>
        <w:t xml:space="preserve"> as indicated by the large number of highly-ranked, but unfunded, proposals for their use.  While investment by both federal and non-federal sources have </w:t>
      </w:r>
      <w:r w:rsidR="003C2958">
        <w:rPr>
          <w:rFonts w:ascii="Arial" w:eastAsia="Times New Roman" w:hAnsi="Arial" w:cs="Arial"/>
          <w:color w:val="222222"/>
          <w:sz w:val="20"/>
          <w:szCs w:val="20"/>
        </w:rPr>
        <w:t xml:space="preserve">generated a large </w:t>
      </w:r>
      <w:r w:rsidR="003C2958" w:rsidRPr="004B65D2">
        <w:rPr>
          <w:rFonts w:ascii="Arial" w:eastAsia="Times New Roman" w:hAnsi="Arial" w:cs="Arial"/>
          <w:i/>
          <w:color w:val="222222"/>
          <w:sz w:val="20"/>
          <w:szCs w:val="20"/>
        </w:rPr>
        <w:t>capacity</w:t>
      </w:r>
      <w:r w:rsidR="003C2958">
        <w:rPr>
          <w:rFonts w:ascii="Arial" w:eastAsia="Times New Roman" w:hAnsi="Arial" w:cs="Arial"/>
          <w:color w:val="222222"/>
          <w:sz w:val="20"/>
          <w:szCs w:val="20"/>
        </w:rPr>
        <w:t xml:space="preserve"> for </w:t>
      </w:r>
      <w:r w:rsidR="003457E3">
        <w:rPr>
          <w:rFonts w:ascii="Arial" w:eastAsia="Times New Roman" w:hAnsi="Arial" w:cs="Arial"/>
          <w:color w:val="222222"/>
          <w:sz w:val="20"/>
          <w:szCs w:val="20"/>
        </w:rPr>
        <w:t xml:space="preserve">new </w:t>
      </w:r>
      <w:r w:rsidR="003C2958">
        <w:rPr>
          <w:rFonts w:ascii="Arial" w:eastAsia="Times New Roman" w:hAnsi="Arial" w:cs="Arial"/>
          <w:color w:val="222222"/>
          <w:sz w:val="20"/>
          <w:szCs w:val="20"/>
        </w:rPr>
        <w:t>meritorious science</w:t>
      </w:r>
      <w:r w:rsidR="001C760B">
        <w:rPr>
          <w:rFonts w:ascii="Arial" w:eastAsia="Times New Roman" w:hAnsi="Arial" w:cs="Arial"/>
          <w:color w:val="222222"/>
          <w:sz w:val="20"/>
          <w:szCs w:val="20"/>
        </w:rPr>
        <w:t xml:space="preserve">, </w:t>
      </w:r>
      <w:r w:rsidR="009F7999">
        <w:rPr>
          <w:rFonts w:ascii="Arial" w:eastAsia="Times New Roman" w:hAnsi="Arial" w:cs="Arial"/>
          <w:color w:val="222222"/>
          <w:sz w:val="20"/>
          <w:szCs w:val="20"/>
        </w:rPr>
        <w:t xml:space="preserve">federal funding </w:t>
      </w:r>
      <w:r w:rsidR="00E57646">
        <w:rPr>
          <w:rFonts w:ascii="Arial" w:eastAsia="Times New Roman" w:hAnsi="Arial" w:cs="Arial"/>
          <w:color w:val="222222"/>
          <w:sz w:val="20"/>
          <w:szCs w:val="20"/>
        </w:rPr>
        <w:t xml:space="preserve">alone </w:t>
      </w:r>
      <w:r w:rsidR="008B6689">
        <w:rPr>
          <w:rFonts w:ascii="Arial" w:eastAsia="Times New Roman" w:hAnsi="Arial" w:cs="Arial"/>
          <w:color w:val="222222"/>
          <w:sz w:val="20"/>
          <w:szCs w:val="20"/>
        </w:rPr>
        <w:t xml:space="preserve">is no longer sufficient </w:t>
      </w:r>
      <w:r w:rsidR="00E57646">
        <w:rPr>
          <w:rFonts w:ascii="Arial" w:eastAsia="Times New Roman" w:hAnsi="Arial" w:cs="Arial"/>
          <w:color w:val="222222"/>
          <w:sz w:val="20"/>
          <w:szCs w:val="20"/>
        </w:rPr>
        <w:t xml:space="preserve">to </w:t>
      </w:r>
      <w:r w:rsidR="003C2958">
        <w:rPr>
          <w:rFonts w:ascii="Arial" w:eastAsia="Times New Roman" w:hAnsi="Arial" w:cs="Arial"/>
          <w:color w:val="222222"/>
          <w:sz w:val="20"/>
          <w:szCs w:val="20"/>
        </w:rPr>
        <w:t xml:space="preserve">support researchers to carry out </w:t>
      </w:r>
      <w:r w:rsidR="008B6689">
        <w:rPr>
          <w:rFonts w:ascii="Arial" w:eastAsia="Times New Roman" w:hAnsi="Arial" w:cs="Arial"/>
          <w:color w:val="222222"/>
          <w:sz w:val="20"/>
          <w:szCs w:val="20"/>
        </w:rPr>
        <w:t xml:space="preserve">the </w:t>
      </w:r>
      <w:r w:rsidR="003C2958">
        <w:rPr>
          <w:rFonts w:ascii="Arial" w:eastAsia="Times New Roman" w:hAnsi="Arial" w:cs="Arial"/>
          <w:color w:val="222222"/>
          <w:sz w:val="20"/>
          <w:szCs w:val="20"/>
        </w:rPr>
        <w:t>science</w:t>
      </w:r>
      <w:r w:rsidR="008B6689">
        <w:rPr>
          <w:rFonts w:ascii="Arial" w:eastAsia="Times New Roman" w:hAnsi="Arial" w:cs="Arial"/>
          <w:color w:val="222222"/>
          <w:sz w:val="20"/>
          <w:szCs w:val="20"/>
        </w:rPr>
        <w:t xml:space="preserve"> opportunities </w:t>
      </w:r>
      <w:r w:rsidR="003457E3">
        <w:rPr>
          <w:rFonts w:ascii="Arial" w:eastAsia="Times New Roman" w:hAnsi="Arial" w:cs="Arial"/>
          <w:color w:val="222222"/>
          <w:sz w:val="20"/>
          <w:szCs w:val="20"/>
        </w:rPr>
        <w:t xml:space="preserve">thus </w:t>
      </w:r>
      <w:r w:rsidR="008B6689">
        <w:rPr>
          <w:rFonts w:ascii="Arial" w:eastAsia="Times New Roman" w:hAnsi="Arial" w:cs="Arial"/>
          <w:color w:val="222222"/>
          <w:sz w:val="20"/>
          <w:szCs w:val="20"/>
        </w:rPr>
        <w:t>provided</w:t>
      </w:r>
      <w:r w:rsidR="003C2958">
        <w:rPr>
          <w:rFonts w:ascii="Arial" w:eastAsia="Times New Roman" w:hAnsi="Arial" w:cs="Arial"/>
          <w:color w:val="222222"/>
          <w:sz w:val="20"/>
          <w:szCs w:val="20"/>
        </w:rPr>
        <w:t>.</w:t>
      </w:r>
      <w:r w:rsidR="00A95AB6">
        <w:rPr>
          <w:rFonts w:ascii="Arial" w:eastAsia="Times New Roman" w:hAnsi="Arial" w:cs="Arial"/>
          <w:color w:val="222222"/>
          <w:sz w:val="20"/>
          <w:szCs w:val="20"/>
        </w:rPr>
        <w:t xml:space="preserve">   W</w:t>
      </w:r>
      <w:r w:rsidR="003C2958">
        <w:rPr>
          <w:rFonts w:ascii="Arial" w:eastAsia="Times New Roman" w:hAnsi="Arial" w:cs="Arial"/>
          <w:color w:val="222222"/>
          <w:sz w:val="20"/>
          <w:szCs w:val="20"/>
        </w:rPr>
        <w:t xml:space="preserve">e next </w:t>
      </w:r>
      <w:r w:rsidR="005A02FE">
        <w:rPr>
          <w:rFonts w:ascii="Arial" w:eastAsia="Times New Roman" w:hAnsi="Arial" w:cs="Arial"/>
          <w:color w:val="222222"/>
          <w:sz w:val="20"/>
          <w:szCs w:val="20"/>
        </w:rPr>
        <w:t>consider the question: What should be adopted as the minimal acceptable funding</w:t>
      </w:r>
      <w:r w:rsidR="004B6993">
        <w:rPr>
          <w:rFonts w:ascii="Arial" w:eastAsia="Times New Roman" w:hAnsi="Arial" w:cs="Arial"/>
          <w:color w:val="222222"/>
          <w:sz w:val="20"/>
          <w:szCs w:val="20"/>
        </w:rPr>
        <w:t xml:space="preserve"> success</w:t>
      </w:r>
      <w:r w:rsidR="005A02FE">
        <w:rPr>
          <w:rFonts w:ascii="Arial" w:eastAsia="Times New Roman" w:hAnsi="Arial" w:cs="Arial"/>
          <w:color w:val="222222"/>
          <w:sz w:val="20"/>
          <w:szCs w:val="20"/>
        </w:rPr>
        <w:t xml:space="preserve"> rate? </w:t>
      </w:r>
      <w:r w:rsidR="0081161E">
        <w:rPr>
          <w:rFonts w:ascii="Arial" w:eastAsia="Times New Roman" w:hAnsi="Arial" w:cs="Arial"/>
          <w:color w:val="222222"/>
          <w:sz w:val="20"/>
          <w:szCs w:val="20"/>
        </w:rPr>
        <w:t>To answer this question, we draw upon and extend recent research that uses empirical data to develop a statistical model of astronomy grant proposers and success rates</w:t>
      </w:r>
      <w:r w:rsidR="0091345D">
        <w:fldChar w:fldCharType="begin"/>
      </w:r>
      <w:r w:rsidR="0091345D">
        <w:instrText xml:space="preserve"> NOTEREF _Ref424042053  \* MERGEFORMAT </w:instrText>
      </w:r>
      <w:r w:rsidR="0091345D">
        <w:fldChar w:fldCharType="separate"/>
      </w:r>
      <w:r w:rsidR="0091345D" w:rsidRPr="0091345D">
        <w:rPr>
          <w:rFonts w:ascii="Arial" w:eastAsia="Times New Roman" w:hAnsi="Arial" w:cs="Arial"/>
          <w:color w:val="222222"/>
          <w:sz w:val="20"/>
          <w:szCs w:val="20"/>
          <w:vertAlign w:val="superscript"/>
        </w:rPr>
        <w:t>3</w:t>
      </w:r>
      <w:r w:rsidR="0091345D">
        <w:rPr>
          <w:rFonts w:ascii="Arial" w:eastAsia="Times New Roman" w:hAnsi="Arial" w:cs="Arial"/>
          <w:color w:val="222222"/>
          <w:sz w:val="20"/>
          <w:szCs w:val="20"/>
          <w:vertAlign w:val="superscript"/>
        </w:rPr>
        <w:fldChar w:fldCharType="end"/>
      </w:r>
      <w:r w:rsidR="0081161E">
        <w:rPr>
          <w:rFonts w:ascii="Arial" w:eastAsia="Times New Roman" w:hAnsi="Arial" w:cs="Arial"/>
          <w:color w:val="222222"/>
          <w:sz w:val="20"/>
          <w:szCs w:val="20"/>
        </w:rPr>
        <w:t xml:space="preserve">. </w:t>
      </w:r>
    </w:p>
    <w:p w14:paraId="79CB40FA" w14:textId="798C0DF1" w:rsidR="006A1993" w:rsidRPr="006A1993" w:rsidRDefault="006470B7" w:rsidP="000B5D59">
      <w:pPr>
        <w:keepNext/>
        <w:shd w:val="clear" w:color="auto" w:fill="FFFFFF"/>
        <w:spacing w:before="180" w:after="120" w:line="240" w:lineRule="auto"/>
        <w:rPr>
          <w:rFonts w:ascii="Arial" w:eastAsia="Times New Roman" w:hAnsi="Arial" w:cs="Arial"/>
          <w:b/>
          <w:i/>
          <w:sz w:val="20"/>
          <w:szCs w:val="20"/>
        </w:rPr>
      </w:pPr>
      <w:r>
        <w:rPr>
          <w:rFonts w:ascii="Arial" w:eastAsia="Times New Roman" w:hAnsi="Arial" w:cs="Arial"/>
          <w:b/>
          <w:i/>
          <w:sz w:val="20"/>
          <w:szCs w:val="20"/>
        </w:rPr>
        <w:lastRenderedPageBreak/>
        <w:t>3</w:t>
      </w:r>
      <w:r w:rsidR="00186C39">
        <w:rPr>
          <w:rFonts w:ascii="Arial" w:eastAsia="Times New Roman" w:hAnsi="Arial" w:cs="Arial"/>
          <w:b/>
          <w:i/>
          <w:sz w:val="20"/>
          <w:szCs w:val="20"/>
        </w:rPr>
        <w:t xml:space="preserve">.1 </w:t>
      </w:r>
      <w:r w:rsidR="006A1993" w:rsidRPr="006A1993">
        <w:rPr>
          <w:rFonts w:ascii="Arial" w:eastAsia="Times New Roman" w:hAnsi="Arial" w:cs="Arial"/>
          <w:b/>
          <w:i/>
          <w:sz w:val="20"/>
          <w:szCs w:val="20"/>
        </w:rPr>
        <w:t>P</w:t>
      </w:r>
      <w:r w:rsidR="00781CA4">
        <w:rPr>
          <w:rFonts w:ascii="Arial" w:eastAsia="Times New Roman" w:hAnsi="Arial" w:cs="Arial"/>
          <w:b/>
          <w:i/>
          <w:sz w:val="20"/>
          <w:szCs w:val="20"/>
        </w:rPr>
        <w:t xml:space="preserve">robabilities of funding success </w:t>
      </w:r>
    </w:p>
    <w:p w14:paraId="1ACBF246" w14:textId="1C2E1124" w:rsidR="007A5536" w:rsidRDefault="00831D55" w:rsidP="007A5536">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 xml:space="preserve">Table 1 uses the statistical model of </w:t>
      </w:r>
      <w:r w:rsidR="007D4B3F">
        <w:rPr>
          <w:rFonts w:ascii="Arial" w:eastAsia="Times New Roman" w:hAnsi="Arial" w:cs="Arial"/>
          <w:sz w:val="20"/>
          <w:szCs w:val="20"/>
        </w:rPr>
        <w:t xml:space="preserve">von </w:t>
      </w:r>
      <w:proofErr w:type="spellStart"/>
      <w:r w:rsidR="007D4B3F">
        <w:rPr>
          <w:rFonts w:ascii="Arial" w:eastAsia="Times New Roman" w:hAnsi="Arial" w:cs="Arial"/>
          <w:sz w:val="20"/>
          <w:szCs w:val="20"/>
        </w:rPr>
        <w:t>Hippel</w:t>
      </w:r>
      <w:proofErr w:type="spellEnd"/>
      <w:r w:rsidR="007D4B3F">
        <w:rPr>
          <w:rFonts w:ascii="Arial" w:eastAsia="Times New Roman" w:hAnsi="Arial" w:cs="Arial"/>
          <w:sz w:val="20"/>
          <w:szCs w:val="20"/>
        </w:rPr>
        <w:t xml:space="preserve"> &amp; von </w:t>
      </w:r>
      <w:proofErr w:type="spellStart"/>
      <w:r w:rsidR="007D4B3F">
        <w:rPr>
          <w:rFonts w:ascii="Arial" w:eastAsia="Times New Roman" w:hAnsi="Arial" w:cs="Arial"/>
          <w:sz w:val="20"/>
          <w:szCs w:val="20"/>
        </w:rPr>
        <w:t>Hippel</w:t>
      </w:r>
      <w:proofErr w:type="spellEnd"/>
      <w:r w:rsidR="007D4B3F">
        <w:rPr>
          <w:rFonts w:ascii="Arial" w:eastAsia="Times New Roman" w:hAnsi="Arial" w:cs="Arial"/>
          <w:sz w:val="20"/>
          <w:szCs w:val="20"/>
        </w:rPr>
        <w:t xml:space="preserve"> (2015)</w:t>
      </w:r>
      <w:r>
        <w:rPr>
          <w:rFonts w:ascii="Arial" w:eastAsia="Times New Roman" w:hAnsi="Arial" w:cs="Arial"/>
          <w:sz w:val="20"/>
          <w:szCs w:val="20"/>
        </w:rPr>
        <w:t xml:space="preserve"> to consider </w:t>
      </w:r>
      <w:r w:rsidR="00851D25">
        <w:rPr>
          <w:rFonts w:ascii="Arial" w:eastAsia="Times New Roman" w:hAnsi="Arial" w:cs="Arial"/>
          <w:sz w:val="20"/>
          <w:szCs w:val="20"/>
        </w:rPr>
        <w:t>various</w:t>
      </w:r>
      <w:r>
        <w:rPr>
          <w:rFonts w:ascii="Arial" w:eastAsia="Times New Roman" w:hAnsi="Arial" w:cs="Arial"/>
          <w:sz w:val="20"/>
          <w:szCs w:val="20"/>
        </w:rPr>
        <w:t xml:space="preserve"> </w:t>
      </w:r>
      <w:r w:rsidR="00FB49D8">
        <w:rPr>
          <w:rFonts w:ascii="Arial" w:eastAsia="Times New Roman" w:hAnsi="Arial" w:cs="Arial"/>
          <w:sz w:val="20"/>
          <w:szCs w:val="20"/>
        </w:rPr>
        <w:t xml:space="preserve">hypothetical </w:t>
      </w:r>
      <w:r>
        <w:rPr>
          <w:rFonts w:ascii="Arial" w:eastAsia="Times New Roman" w:hAnsi="Arial" w:cs="Arial"/>
          <w:sz w:val="20"/>
          <w:szCs w:val="20"/>
        </w:rPr>
        <w:t>scenarios</w:t>
      </w:r>
      <w:r w:rsidR="00FB49D8">
        <w:rPr>
          <w:rFonts w:ascii="Arial" w:eastAsia="Times New Roman" w:hAnsi="Arial" w:cs="Arial"/>
          <w:sz w:val="20"/>
          <w:szCs w:val="20"/>
        </w:rPr>
        <w:t xml:space="preserve"> of </w:t>
      </w:r>
      <w:r w:rsidR="009C3735">
        <w:rPr>
          <w:rFonts w:ascii="Arial" w:eastAsia="Times New Roman" w:hAnsi="Arial" w:cs="Arial"/>
          <w:sz w:val="20"/>
          <w:szCs w:val="20"/>
        </w:rPr>
        <w:t xml:space="preserve">funding and </w:t>
      </w:r>
      <w:r w:rsidR="00FB49D8">
        <w:rPr>
          <w:rFonts w:ascii="Arial" w:eastAsia="Times New Roman" w:hAnsi="Arial" w:cs="Arial"/>
          <w:sz w:val="20"/>
          <w:szCs w:val="20"/>
        </w:rPr>
        <w:t>re</w:t>
      </w:r>
      <w:r w:rsidR="009C3735">
        <w:rPr>
          <w:rFonts w:ascii="Arial" w:eastAsia="Times New Roman" w:hAnsi="Arial" w:cs="Arial"/>
          <w:sz w:val="20"/>
          <w:szCs w:val="20"/>
        </w:rPr>
        <w:t>submission</w:t>
      </w:r>
      <w:r w:rsidR="00FB49D8">
        <w:rPr>
          <w:rFonts w:ascii="Arial" w:eastAsia="Times New Roman" w:hAnsi="Arial" w:cs="Arial"/>
          <w:sz w:val="20"/>
          <w:szCs w:val="20"/>
        </w:rPr>
        <w:t xml:space="preserve"> rate</w:t>
      </w:r>
      <w:r w:rsidR="009C3735">
        <w:rPr>
          <w:rFonts w:ascii="Arial" w:eastAsia="Times New Roman" w:hAnsi="Arial" w:cs="Arial"/>
          <w:sz w:val="20"/>
          <w:szCs w:val="20"/>
        </w:rPr>
        <w:t>s</w:t>
      </w:r>
      <w:r w:rsidR="00CF087C">
        <w:rPr>
          <w:rFonts w:ascii="Arial" w:eastAsia="Times New Roman" w:hAnsi="Arial" w:cs="Arial"/>
          <w:sz w:val="20"/>
          <w:szCs w:val="20"/>
        </w:rPr>
        <w:t>, assuming that the typical investigator submits a single proposal to a given opportunity (consistent with real behavior</w:t>
      </w:r>
      <w:r w:rsidR="00CF7C4C">
        <w:rPr>
          <w:rFonts w:ascii="Arial" w:eastAsia="Times New Roman" w:hAnsi="Arial" w:cs="Arial"/>
          <w:sz w:val="20"/>
          <w:szCs w:val="20"/>
        </w:rPr>
        <w:t xml:space="preserve"> as illustrated in Section 1</w:t>
      </w:r>
      <w:r w:rsidR="00CF087C">
        <w:rPr>
          <w:rFonts w:ascii="Arial" w:eastAsia="Times New Roman" w:hAnsi="Arial" w:cs="Arial"/>
          <w:sz w:val="20"/>
          <w:szCs w:val="20"/>
        </w:rPr>
        <w:t>)</w:t>
      </w:r>
      <w:r w:rsidR="009C3735">
        <w:rPr>
          <w:rFonts w:ascii="Arial" w:eastAsia="Times New Roman" w:hAnsi="Arial" w:cs="Arial"/>
          <w:sz w:val="20"/>
          <w:szCs w:val="20"/>
        </w:rPr>
        <w:t xml:space="preserve">. </w:t>
      </w:r>
      <w:r w:rsidR="00755D64">
        <w:rPr>
          <w:rFonts w:ascii="Arial" w:eastAsia="Times New Roman" w:hAnsi="Arial" w:cs="Arial"/>
          <w:sz w:val="20"/>
          <w:szCs w:val="20"/>
        </w:rPr>
        <w:t>S</w:t>
      </w:r>
      <w:r w:rsidR="00E82934">
        <w:rPr>
          <w:rFonts w:ascii="Arial" w:eastAsia="Times New Roman" w:hAnsi="Arial" w:cs="Arial"/>
          <w:sz w:val="20"/>
          <w:szCs w:val="20"/>
        </w:rPr>
        <w:t xml:space="preserve">cenarios corresponding to </w:t>
      </w:r>
      <w:r w:rsidR="00CF7C4C">
        <w:rPr>
          <w:rFonts w:ascii="Arial" w:eastAsia="Times New Roman" w:hAnsi="Arial" w:cs="Arial"/>
          <w:sz w:val="20"/>
          <w:szCs w:val="20"/>
        </w:rPr>
        <w:t xml:space="preserve">NSF Astronomy </w:t>
      </w:r>
      <w:r w:rsidR="00E82934">
        <w:rPr>
          <w:rFonts w:ascii="Arial" w:eastAsia="Times New Roman" w:hAnsi="Arial" w:cs="Arial"/>
          <w:sz w:val="20"/>
          <w:szCs w:val="20"/>
        </w:rPr>
        <w:t>funding rates</w:t>
      </w:r>
      <w:r w:rsidR="00716439">
        <w:rPr>
          <w:rFonts w:ascii="Arial" w:eastAsia="Times New Roman" w:hAnsi="Arial" w:cs="Arial"/>
          <w:sz w:val="20"/>
          <w:szCs w:val="20"/>
        </w:rPr>
        <w:t xml:space="preserve"> in FY2003</w:t>
      </w:r>
      <w:r w:rsidR="006F1DED">
        <w:rPr>
          <w:rFonts w:ascii="Arial" w:eastAsia="Times New Roman" w:hAnsi="Arial" w:cs="Arial"/>
          <w:sz w:val="20"/>
          <w:szCs w:val="20"/>
        </w:rPr>
        <w:t xml:space="preserve"> </w:t>
      </w:r>
      <w:r w:rsidR="00716439">
        <w:rPr>
          <w:rFonts w:ascii="Arial" w:eastAsia="Times New Roman" w:hAnsi="Arial" w:cs="Arial"/>
          <w:sz w:val="20"/>
          <w:szCs w:val="20"/>
        </w:rPr>
        <w:t xml:space="preserve">and </w:t>
      </w:r>
      <w:r w:rsidR="00CF7C4C">
        <w:rPr>
          <w:rFonts w:ascii="Arial" w:eastAsia="Times New Roman" w:hAnsi="Arial" w:cs="Arial"/>
          <w:sz w:val="20"/>
          <w:szCs w:val="20"/>
        </w:rPr>
        <w:t xml:space="preserve">those </w:t>
      </w:r>
      <w:r w:rsidR="00E82934">
        <w:rPr>
          <w:rFonts w:ascii="Arial" w:eastAsia="Times New Roman" w:hAnsi="Arial" w:cs="Arial"/>
          <w:sz w:val="20"/>
          <w:szCs w:val="20"/>
        </w:rPr>
        <w:t>projected for FY2018</w:t>
      </w:r>
      <w:r w:rsidR="00CF7C4C">
        <w:rPr>
          <w:rFonts w:ascii="Arial" w:eastAsia="Times New Roman" w:hAnsi="Arial" w:cs="Arial"/>
          <w:sz w:val="20"/>
          <w:szCs w:val="20"/>
        </w:rPr>
        <w:t xml:space="preserve"> in the absence of any facility divestment</w:t>
      </w:r>
      <w:r w:rsidR="00E82934">
        <w:rPr>
          <w:rFonts w:ascii="Arial" w:eastAsia="Times New Roman" w:hAnsi="Arial" w:cs="Arial"/>
          <w:sz w:val="20"/>
          <w:szCs w:val="20"/>
        </w:rPr>
        <w:t xml:space="preserve"> </w:t>
      </w:r>
      <w:r w:rsidR="00716439">
        <w:rPr>
          <w:rFonts w:ascii="Arial" w:eastAsia="Times New Roman" w:hAnsi="Arial" w:cs="Arial"/>
          <w:sz w:val="20"/>
          <w:szCs w:val="20"/>
        </w:rPr>
        <w:t>are highlighted</w:t>
      </w:r>
      <w:r w:rsidR="00242201">
        <w:rPr>
          <w:rFonts w:ascii="Arial" w:eastAsia="Times New Roman" w:hAnsi="Arial" w:cs="Arial"/>
          <w:sz w:val="20"/>
          <w:szCs w:val="20"/>
        </w:rPr>
        <w:t xml:space="preserve"> as green and</w:t>
      </w:r>
      <w:r w:rsidR="00D642A0">
        <w:rPr>
          <w:rFonts w:ascii="Arial" w:eastAsia="Times New Roman" w:hAnsi="Arial" w:cs="Arial"/>
          <w:sz w:val="20"/>
          <w:szCs w:val="20"/>
        </w:rPr>
        <w:t xml:space="preserve"> red, respectively. </w:t>
      </w:r>
      <w:r w:rsidR="00CF7C4C">
        <w:rPr>
          <w:rFonts w:ascii="Arial" w:eastAsia="Times New Roman" w:hAnsi="Arial" w:cs="Arial"/>
          <w:sz w:val="20"/>
          <w:szCs w:val="20"/>
        </w:rPr>
        <w:t xml:space="preserve">Highlighted in </w:t>
      </w:r>
      <w:r w:rsidR="000240D6">
        <w:rPr>
          <w:rFonts w:ascii="Arial" w:eastAsia="Times New Roman" w:hAnsi="Arial" w:cs="Arial"/>
          <w:sz w:val="20"/>
          <w:szCs w:val="20"/>
        </w:rPr>
        <w:t xml:space="preserve">yellow </w:t>
      </w:r>
      <w:r w:rsidR="00CF7C4C">
        <w:rPr>
          <w:rFonts w:ascii="Arial" w:eastAsia="Times New Roman" w:hAnsi="Arial" w:cs="Arial"/>
          <w:sz w:val="20"/>
          <w:szCs w:val="20"/>
        </w:rPr>
        <w:t>is t</w:t>
      </w:r>
      <w:r w:rsidR="00716439">
        <w:rPr>
          <w:rFonts w:ascii="Arial" w:eastAsia="Times New Roman" w:hAnsi="Arial" w:cs="Arial"/>
          <w:sz w:val="20"/>
          <w:szCs w:val="20"/>
        </w:rPr>
        <w:t>h</w:t>
      </w:r>
      <w:r w:rsidR="00A468F0">
        <w:rPr>
          <w:rFonts w:ascii="Arial" w:eastAsia="Times New Roman" w:hAnsi="Arial" w:cs="Arial"/>
          <w:sz w:val="20"/>
          <w:szCs w:val="20"/>
        </w:rPr>
        <w:t>e</w:t>
      </w:r>
      <w:r w:rsidR="00716439">
        <w:rPr>
          <w:rFonts w:ascii="Arial" w:eastAsia="Times New Roman" w:hAnsi="Arial" w:cs="Arial"/>
          <w:sz w:val="20"/>
          <w:szCs w:val="20"/>
        </w:rPr>
        <w:t xml:space="preserve"> minimum benchmark </w:t>
      </w:r>
      <w:r w:rsidR="00CF7C4C">
        <w:rPr>
          <w:rFonts w:ascii="Arial" w:eastAsia="Times New Roman" w:hAnsi="Arial" w:cs="Arial"/>
          <w:sz w:val="20"/>
          <w:szCs w:val="20"/>
        </w:rPr>
        <w:t>for scientific productivity</w:t>
      </w:r>
      <w:r w:rsidR="00A468F0">
        <w:rPr>
          <w:rFonts w:ascii="Arial" w:eastAsia="Times New Roman" w:hAnsi="Arial" w:cs="Arial"/>
          <w:sz w:val="20"/>
          <w:szCs w:val="20"/>
        </w:rPr>
        <w:t xml:space="preserve">, defined as the point at which the time it takes </w:t>
      </w:r>
      <w:r w:rsidR="00617CDA">
        <w:rPr>
          <w:rFonts w:ascii="Arial" w:eastAsia="Times New Roman" w:hAnsi="Arial" w:cs="Arial"/>
          <w:sz w:val="20"/>
          <w:szCs w:val="20"/>
        </w:rPr>
        <w:t xml:space="preserve">new researchers </w:t>
      </w:r>
      <w:r w:rsidR="00A468F0">
        <w:rPr>
          <w:rFonts w:ascii="Arial" w:eastAsia="Times New Roman" w:hAnsi="Arial" w:cs="Arial"/>
          <w:sz w:val="20"/>
          <w:szCs w:val="20"/>
        </w:rPr>
        <w:t xml:space="preserve">to write </w:t>
      </w:r>
      <w:r w:rsidR="00650D97">
        <w:rPr>
          <w:rFonts w:ascii="Arial" w:eastAsia="Times New Roman" w:hAnsi="Arial" w:cs="Arial"/>
          <w:sz w:val="20"/>
          <w:szCs w:val="20"/>
        </w:rPr>
        <w:t xml:space="preserve">potentially unfunded </w:t>
      </w:r>
      <w:r w:rsidR="00A468F0">
        <w:rPr>
          <w:rFonts w:ascii="Arial" w:eastAsia="Times New Roman" w:hAnsi="Arial" w:cs="Arial"/>
          <w:sz w:val="20"/>
          <w:szCs w:val="20"/>
        </w:rPr>
        <w:t>proposals “costs” more in terms of scientific output than the papers facilitated by a successful proposal (see Section 3</w:t>
      </w:r>
      <w:r w:rsidR="00F00EE4">
        <w:rPr>
          <w:rFonts w:ascii="Arial" w:eastAsia="Times New Roman" w:hAnsi="Arial" w:cs="Arial"/>
          <w:sz w:val="20"/>
          <w:szCs w:val="20"/>
        </w:rPr>
        <w:t>.2</w:t>
      </w:r>
      <w:r w:rsidR="00A468F0">
        <w:rPr>
          <w:rFonts w:ascii="Arial" w:eastAsia="Times New Roman" w:hAnsi="Arial" w:cs="Arial"/>
          <w:sz w:val="20"/>
          <w:szCs w:val="20"/>
        </w:rPr>
        <w:t>)</w:t>
      </w:r>
      <w:r w:rsidR="00716439">
        <w:rPr>
          <w:rFonts w:ascii="Arial" w:eastAsia="Times New Roman" w:hAnsi="Arial" w:cs="Arial"/>
          <w:sz w:val="20"/>
          <w:szCs w:val="20"/>
        </w:rPr>
        <w:t xml:space="preserve">. </w:t>
      </w:r>
      <w:r w:rsidR="009E104A">
        <w:rPr>
          <w:rFonts w:ascii="Arial" w:eastAsia="Times New Roman" w:hAnsi="Arial" w:cs="Arial"/>
          <w:sz w:val="20"/>
          <w:szCs w:val="20"/>
        </w:rPr>
        <w:t>Note that the historically much higher success rate of 30-35% in FY2003 represented a healthily competitive environment</w:t>
      </w:r>
      <w:r w:rsidR="00904F31">
        <w:rPr>
          <w:rFonts w:ascii="Arial" w:eastAsia="Times New Roman" w:hAnsi="Arial" w:cs="Arial"/>
          <w:sz w:val="20"/>
          <w:szCs w:val="20"/>
        </w:rPr>
        <w:t>,</w:t>
      </w:r>
      <w:r w:rsidR="009E104A">
        <w:rPr>
          <w:rFonts w:ascii="Arial" w:eastAsia="Times New Roman" w:hAnsi="Arial" w:cs="Arial"/>
          <w:sz w:val="20"/>
          <w:szCs w:val="20"/>
        </w:rPr>
        <w:t xml:space="preserve"> in which the average investigator faced a manageable level of risk (~</w:t>
      </w:r>
      <w:r w:rsidR="006C4930">
        <w:rPr>
          <w:rFonts w:ascii="Arial" w:eastAsia="Times New Roman" w:hAnsi="Arial" w:cs="Arial"/>
          <w:sz w:val="20"/>
          <w:szCs w:val="20"/>
        </w:rPr>
        <w:t>30</w:t>
      </w:r>
      <w:r w:rsidR="009E104A">
        <w:rPr>
          <w:rFonts w:ascii="Arial" w:eastAsia="Times New Roman" w:hAnsi="Arial" w:cs="Arial"/>
          <w:sz w:val="20"/>
          <w:szCs w:val="20"/>
        </w:rPr>
        <w:t>%) of no funding after three attempts</w:t>
      </w:r>
      <w:r w:rsidR="00B52E89">
        <w:rPr>
          <w:rFonts w:ascii="Arial" w:eastAsia="Times New Roman" w:hAnsi="Arial" w:cs="Arial"/>
          <w:sz w:val="20"/>
          <w:szCs w:val="20"/>
        </w:rPr>
        <w:t xml:space="preserve"> (Table 1)</w:t>
      </w:r>
      <w:r w:rsidR="009E104A">
        <w:rPr>
          <w:rFonts w:ascii="Arial" w:eastAsia="Times New Roman" w:hAnsi="Arial" w:cs="Arial"/>
          <w:sz w:val="20"/>
          <w:szCs w:val="20"/>
        </w:rPr>
        <w:t>.</w:t>
      </w:r>
      <w:r w:rsidR="00B52E89">
        <w:rPr>
          <w:rFonts w:ascii="Arial" w:eastAsia="Times New Roman" w:hAnsi="Arial" w:cs="Arial"/>
          <w:sz w:val="20"/>
          <w:szCs w:val="20"/>
        </w:rPr>
        <w:t xml:space="preserve"> In the current situation, </w:t>
      </w:r>
      <w:r w:rsidR="00F03B89">
        <w:rPr>
          <w:rFonts w:ascii="Arial" w:eastAsia="Times New Roman" w:hAnsi="Arial" w:cs="Arial"/>
          <w:sz w:val="20"/>
          <w:szCs w:val="20"/>
        </w:rPr>
        <w:t>where</w:t>
      </w:r>
      <w:r w:rsidR="00B52E89">
        <w:rPr>
          <w:rFonts w:ascii="Arial" w:eastAsia="Times New Roman" w:hAnsi="Arial" w:cs="Arial"/>
          <w:sz w:val="20"/>
          <w:szCs w:val="20"/>
        </w:rPr>
        <w:t xml:space="preserve"> </w:t>
      </w:r>
      <w:r w:rsidR="00F03B89">
        <w:rPr>
          <w:rFonts w:ascii="Arial" w:eastAsia="Times New Roman" w:hAnsi="Arial" w:cs="Arial"/>
          <w:sz w:val="20"/>
          <w:szCs w:val="20"/>
        </w:rPr>
        <w:t xml:space="preserve">the success rate of </w:t>
      </w:r>
      <w:r w:rsidR="00B52E89">
        <w:rPr>
          <w:rFonts w:ascii="Arial" w:eastAsia="Times New Roman" w:hAnsi="Arial" w:cs="Arial"/>
          <w:sz w:val="20"/>
          <w:szCs w:val="20"/>
        </w:rPr>
        <w:t>proposals rated “very good”</w:t>
      </w:r>
      <w:r w:rsidR="00F03B89">
        <w:rPr>
          <w:rFonts w:ascii="Arial" w:eastAsia="Times New Roman" w:hAnsi="Arial" w:cs="Arial"/>
          <w:sz w:val="20"/>
          <w:szCs w:val="20"/>
        </w:rPr>
        <w:t xml:space="preserve"> has</w:t>
      </w:r>
      <w:r w:rsidR="00B52E89">
        <w:rPr>
          <w:rFonts w:ascii="Arial" w:eastAsia="Times New Roman" w:hAnsi="Arial" w:cs="Arial"/>
          <w:sz w:val="20"/>
          <w:szCs w:val="20"/>
        </w:rPr>
        <w:t xml:space="preserve"> dropped </w:t>
      </w:r>
      <w:r w:rsidR="00F03B89">
        <w:rPr>
          <w:rFonts w:ascii="Arial" w:eastAsia="Times New Roman" w:hAnsi="Arial" w:cs="Arial"/>
          <w:sz w:val="20"/>
          <w:szCs w:val="20"/>
        </w:rPr>
        <w:t xml:space="preserve">to ~25% (Sec. 2.2), Table 1 shows that investigators have only a ~58% probability of being funded even after three attempts. </w:t>
      </w:r>
      <w:r w:rsidR="007A5536">
        <w:rPr>
          <w:rFonts w:ascii="Arial" w:eastAsia="Times New Roman" w:hAnsi="Arial" w:cs="Arial"/>
          <w:sz w:val="20"/>
          <w:szCs w:val="20"/>
        </w:rPr>
        <w:br/>
      </w:r>
    </w:p>
    <w:p w14:paraId="212827E5" w14:textId="77777777" w:rsidR="004E634D" w:rsidRDefault="007A5536" w:rsidP="00B00D46">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sz w:val="20"/>
          <w:szCs w:val="20"/>
        </w:rPr>
        <w:t>I</w:t>
      </w:r>
      <w:r w:rsidR="00633E6D">
        <w:rPr>
          <w:rFonts w:ascii="Arial" w:eastAsia="Times New Roman" w:hAnsi="Arial" w:cs="Arial"/>
          <w:color w:val="222222"/>
          <w:sz w:val="20"/>
          <w:szCs w:val="20"/>
        </w:rPr>
        <w:t xml:space="preserve">mportantly, von </w:t>
      </w:r>
      <w:proofErr w:type="spellStart"/>
      <w:r w:rsidR="00633E6D">
        <w:rPr>
          <w:rFonts w:ascii="Arial" w:eastAsia="Times New Roman" w:hAnsi="Arial" w:cs="Arial"/>
          <w:color w:val="222222"/>
          <w:sz w:val="20"/>
          <w:szCs w:val="20"/>
        </w:rPr>
        <w:t>Hippel</w:t>
      </w:r>
      <w:proofErr w:type="spellEnd"/>
      <w:r w:rsidR="00633E6D">
        <w:rPr>
          <w:rFonts w:ascii="Arial" w:eastAsia="Times New Roman" w:hAnsi="Arial" w:cs="Arial"/>
          <w:color w:val="222222"/>
          <w:sz w:val="20"/>
          <w:szCs w:val="20"/>
        </w:rPr>
        <w:t xml:space="preserve"> &amp; von </w:t>
      </w:r>
      <w:proofErr w:type="spellStart"/>
      <w:r w:rsidR="00633E6D">
        <w:rPr>
          <w:rFonts w:ascii="Arial" w:eastAsia="Times New Roman" w:hAnsi="Arial" w:cs="Arial"/>
          <w:color w:val="222222"/>
          <w:sz w:val="20"/>
          <w:szCs w:val="20"/>
        </w:rPr>
        <w:t>Hippel</w:t>
      </w:r>
      <w:proofErr w:type="spellEnd"/>
      <w:r w:rsidR="00633E6D">
        <w:rPr>
          <w:rFonts w:ascii="Arial" w:eastAsia="Times New Roman" w:hAnsi="Arial" w:cs="Arial"/>
          <w:color w:val="222222"/>
          <w:sz w:val="20"/>
          <w:szCs w:val="20"/>
        </w:rPr>
        <w:t xml:space="preserve"> (2015) show that, due to </w:t>
      </w:r>
      <w:r w:rsidR="006F374E">
        <w:rPr>
          <w:rFonts w:ascii="Arial" w:eastAsia="Times New Roman" w:hAnsi="Arial" w:cs="Arial"/>
          <w:color w:val="222222"/>
          <w:sz w:val="20"/>
          <w:szCs w:val="20"/>
        </w:rPr>
        <w:t>reviewers rating current</w:t>
      </w:r>
      <w:r>
        <w:rPr>
          <w:rFonts w:ascii="Arial" w:eastAsia="Times New Roman" w:hAnsi="Arial" w:cs="Arial"/>
          <w:color w:val="222222"/>
          <w:sz w:val="20"/>
          <w:szCs w:val="20"/>
        </w:rPr>
        <w:t>l</w:t>
      </w:r>
      <w:r w:rsidR="006F374E">
        <w:rPr>
          <w:rFonts w:ascii="Arial" w:eastAsia="Times New Roman" w:hAnsi="Arial" w:cs="Arial"/>
          <w:color w:val="222222"/>
          <w:sz w:val="20"/>
          <w:szCs w:val="20"/>
        </w:rPr>
        <w:t>y-funded investigators more highly (</w:t>
      </w:r>
      <w:r w:rsidR="00633E6D">
        <w:rPr>
          <w:rFonts w:ascii="Arial" w:eastAsia="Times New Roman" w:hAnsi="Arial" w:cs="Arial"/>
          <w:color w:val="222222"/>
          <w:sz w:val="20"/>
          <w:szCs w:val="20"/>
        </w:rPr>
        <w:t>a well-known rater bias known as the Matthew Effect</w:t>
      </w:r>
      <w:r w:rsidR="003C2958">
        <w:rPr>
          <w:rStyle w:val="FootnoteReference"/>
          <w:rFonts w:ascii="Arial" w:eastAsia="Times New Roman" w:hAnsi="Arial" w:cs="Arial"/>
          <w:color w:val="222222"/>
          <w:sz w:val="20"/>
          <w:szCs w:val="20"/>
        </w:rPr>
        <w:footnoteReference w:id="10"/>
      </w:r>
      <w:r w:rsidR="006F374E">
        <w:rPr>
          <w:rFonts w:ascii="Arial" w:eastAsia="Times New Roman" w:hAnsi="Arial" w:cs="Arial"/>
          <w:color w:val="222222"/>
          <w:sz w:val="20"/>
          <w:szCs w:val="20"/>
        </w:rPr>
        <w:t xml:space="preserve">), </w:t>
      </w:r>
      <w:r w:rsidR="00633E6D">
        <w:rPr>
          <w:rFonts w:ascii="Arial" w:eastAsia="Times New Roman" w:hAnsi="Arial" w:cs="Arial"/>
          <w:color w:val="222222"/>
          <w:sz w:val="20"/>
          <w:szCs w:val="20"/>
        </w:rPr>
        <w:t>the average funding rate is always an over-estimate of the true rate</w:t>
      </w:r>
      <w:r w:rsidR="00633E6D" w:rsidRPr="00680C55">
        <w:rPr>
          <w:rFonts w:ascii="Arial" w:eastAsia="Times New Roman" w:hAnsi="Arial" w:cs="Arial"/>
          <w:color w:val="222222"/>
          <w:sz w:val="20"/>
          <w:szCs w:val="20"/>
        </w:rPr>
        <w:t xml:space="preserve"> for new researchers</w:t>
      </w:r>
      <w:r w:rsidR="006F374E">
        <w:rPr>
          <w:rFonts w:ascii="Arial" w:eastAsia="Times New Roman" w:hAnsi="Arial" w:cs="Arial"/>
          <w:color w:val="222222"/>
          <w:sz w:val="20"/>
          <w:szCs w:val="20"/>
        </w:rPr>
        <w:t xml:space="preserve">. </w:t>
      </w:r>
      <w:r w:rsidR="00210BE4" w:rsidRPr="00210BE4">
        <w:rPr>
          <w:rFonts w:ascii="Arial" w:eastAsia="Times New Roman" w:hAnsi="Arial" w:cs="Arial"/>
          <w:color w:val="222222"/>
          <w:sz w:val="20"/>
          <w:szCs w:val="20"/>
        </w:rPr>
        <w:t>For example, during 2009 to 2012, with average funding rates ranging from18% (psychology proposals to NSF) to 28% (astronomy proposals to NASA),</w:t>
      </w:r>
      <w:r w:rsidR="00210BE4">
        <w:rPr>
          <w:rFonts w:ascii="Arial" w:eastAsia="Times New Roman" w:hAnsi="Arial" w:cs="Arial"/>
          <w:color w:val="222222"/>
          <w:sz w:val="20"/>
          <w:szCs w:val="20"/>
        </w:rPr>
        <w:t xml:space="preserve"> the von </w:t>
      </w:r>
      <w:proofErr w:type="spellStart"/>
      <w:r w:rsidR="00210BE4">
        <w:rPr>
          <w:rFonts w:ascii="Arial" w:eastAsia="Times New Roman" w:hAnsi="Arial" w:cs="Arial"/>
          <w:color w:val="222222"/>
          <w:sz w:val="20"/>
          <w:szCs w:val="20"/>
        </w:rPr>
        <w:t>Hippel</w:t>
      </w:r>
      <w:proofErr w:type="spellEnd"/>
      <w:r w:rsidR="00210BE4">
        <w:rPr>
          <w:rFonts w:ascii="Arial" w:eastAsia="Times New Roman" w:hAnsi="Arial" w:cs="Arial"/>
          <w:color w:val="222222"/>
          <w:sz w:val="20"/>
          <w:szCs w:val="20"/>
        </w:rPr>
        <w:t xml:space="preserve"> study </w:t>
      </w:r>
      <w:r w:rsidR="00210BE4" w:rsidRPr="00210BE4">
        <w:rPr>
          <w:rFonts w:ascii="Arial" w:eastAsia="Times New Roman" w:hAnsi="Arial" w:cs="Arial"/>
          <w:color w:val="222222"/>
          <w:sz w:val="20"/>
          <w:szCs w:val="20"/>
        </w:rPr>
        <w:t>found that researchers with current fundin</w:t>
      </w:r>
      <w:r w:rsidR="00210BE4">
        <w:rPr>
          <w:rFonts w:ascii="Arial" w:eastAsia="Times New Roman" w:hAnsi="Arial" w:cs="Arial"/>
          <w:color w:val="222222"/>
          <w:sz w:val="20"/>
          <w:szCs w:val="20"/>
        </w:rPr>
        <w:t xml:space="preserve">g </w:t>
      </w:r>
      <w:r w:rsidR="00210BE4" w:rsidRPr="00210BE4">
        <w:rPr>
          <w:rFonts w:ascii="Arial" w:eastAsia="Times New Roman" w:hAnsi="Arial" w:cs="Arial"/>
          <w:color w:val="222222"/>
          <w:sz w:val="20"/>
          <w:szCs w:val="20"/>
        </w:rPr>
        <w:t>had a ~50% probability of being funded in the next cycle compared to only</w:t>
      </w:r>
      <w:r w:rsidR="00210BE4">
        <w:rPr>
          <w:rFonts w:ascii="Arial" w:eastAsia="Times New Roman" w:hAnsi="Arial" w:cs="Arial"/>
          <w:color w:val="222222"/>
          <w:sz w:val="20"/>
          <w:szCs w:val="20"/>
        </w:rPr>
        <w:t xml:space="preserve"> ~7% for new </w:t>
      </w:r>
      <w:r w:rsidR="00004503">
        <w:rPr>
          <w:rFonts w:ascii="Arial" w:eastAsia="Times New Roman" w:hAnsi="Arial" w:cs="Arial"/>
          <w:color w:val="222222"/>
          <w:sz w:val="20"/>
          <w:szCs w:val="20"/>
        </w:rPr>
        <w:t xml:space="preserve">or recently unfunded </w:t>
      </w:r>
      <w:r w:rsidR="00210BE4">
        <w:rPr>
          <w:rFonts w:ascii="Arial" w:eastAsia="Times New Roman" w:hAnsi="Arial" w:cs="Arial"/>
          <w:color w:val="222222"/>
          <w:sz w:val="20"/>
          <w:szCs w:val="20"/>
        </w:rPr>
        <w:t xml:space="preserve">researchers.  </w:t>
      </w:r>
      <w:r w:rsidR="007B182B">
        <w:rPr>
          <w:rFonts w:ascii="Arial" w:eastAsia="Times New Roman" w:hAnsi="Arial" w:cs="Arial"/>
          <w:color w:val="222222"/>
          <w:sz w:val="20"/>
          <w:szCs w:val="20"/>
        </w:rPr>
        <w:t xml:space="preserve">This </w:t>
      </w:r>
      <w:r w:rsidR="00210BE4">
        <w:rPr>
          <w:rFonts w:ascii="Arial" w:eastAsia="Times New Roman" w:hAnsi="Arial" w:cs="Arial"/>
          <w:color w:val="222222"/>
          <w:sz w:val="20"/>
          <w:szCs w:val="20"/>
        </w:rPr>
        <w:t xml:space="preserve">effect is also apparent for </w:t>
      </w:r>
      <w:r w:rsidR="007B182B">
        <w:rPr>
          <w:rFonts w:ascii="Arial" w:eastAsia="Times New Roman" w:hAnsi="Arial" w:cs="Arial"/>
          <w:color w:val="222222"/>
          <w:sz w:val="20"/>
          <w:szCs w:val="20"/>
        </w:rPr>
        <w:t>researchers who have not been successfully funded in recent years.</w:t>
      </w:r>
      <w:r w:rsidR="007B182B">
        <w:rPr>
          <w:rFonts w:ascii="Arial" w:eastAsia="Times New Roman" w:hAnsi="Arial" w:cs="Arial"/>
          <w:sz w:val="20"/>
          <w:szCs w:val="20"/>
        </w:rPr>
        <w:t xml:space="preserve"> For a 20% average funding rate</w:t>
      </w:r>
      <w:r w:rsidR="001605D0">
        <w:rPr>
          <w:rFonts w:ascii="Arial" w:eastAsia="Times New Roman" w:hAnsi="Arial" w:cs="Arial"/>
          <w:sz w:val="20"/>
          <w:szCs w:val="20"/>
        </w:rPr>
        <w:t>, presently</w:t>
      </w:r>
      <w:r w:rsidR="00633E6D" w:rsidRPr="005C5FEC">
        <w:rPr>
          <w:rFonts w:ascii="Arial" w:eastAsia="Times New Roman" w:hAnsi="Arial" w:cs="Arial"/>
          <w:color w:val="222222"/>
          <w:sz w:val="20"/>
          <w:szCs w:val="20"/>
        </w:rPr>
        <w:t xml:space="preserve"> unfunded and new investigators</w:t>
      </w:r>
      <w:r w:rsidR="00FB74B9">
        <w:rPr>
          <w:rFonts w:ascii="Arial" w:eastAsia="Times New Roman" w:hAnsi="Arial" w:cs="Arial"/>
          <w:color w:val="222222"/>
          <w:sz w:val="20"/>
          <w:szCs w:val="20"/>
        </w:rPr>
        <w:t>,</w:t>
      </w:r>
      <w:r w:rsidR="00633E6D" w:rsidRPr="005C5FEC">
        <w:rPr>
          <w:rFonts w:ascii="Arial" w:eastAsia="Times New Roman" w:hAnsi="Arial" w:cs="Arial"/>
          <w:color w:val="222222"/>
          <w:sz w:val="20"/>
          <w:szCs w:val="20"/>
        </w:rPr>
        <w:t xml:space="preserve"> </w:t>
      </w:r>
      <w:r w:rsidR="00E6575C">
        <w:rPr>
          <w:rFonts w:ascii="Arial" w:eastAsia="Times New Roman" w:hAnsi="Arial" w:cs="Arial"/>
          <w:color w:val="222222"/>
          <w:sz w:val="20"/>
          <w:szCs w:val="20"/>
        </w:rPr>
        <w:t>therefore</w:t>
      </w:r>
      <w:r w:rsidR="00FB74B9">
        <w:rPr>
          <w:rFonts w:ascii="Arial" w:eastAsia="Times New Roman" w:hAnsi="Arial" w:cs="Arial"/>
          <w:color w:val="222222"/>
          <w:sz w:val="20"/>
          <w:szCs w:val="20"/>
        </w:rPr>
        <w:t>,</w:t>
      </w:r>
      <w:r w:rsidR="00E6575C">
        <w:rPr>
          <w:rFonts w:ascii="Arial" w:eastAsia="Times New Roman" w:hAnsi="Arial" w:cs="Arial"/>
          <w:color w:val="222222"/>
          <w:sz w:val="20"/>
          <w:szCs w:val="20"/>
        </w:rPr>
        <w:t xml:space="preserve"> </w:t>
      </w:r>
      <w:r w:rsidR="00633E6D">
        <w:rPr>
          <w:rFonts w:ascii="Arial" w:eastAsia="Times New Roman" w:hAnsi="Arial" w:cs="Arial"/>
          <w:color w:val="222222"/>
          <w:sz w:val="20"/>
          <w:szCs w:val="20"/>
        </w:rPr>
        <w:t>compete</w:t>
      </w:r>
      <w:r w:rsidR="00633E6D" w:rsidRPr="005C5FEC">
        <w:rPr>
          <w:rFonts w:ascii="Arial" w:eastAsia="Times New Roman" w:hAnsi="Arial" w:cs="Arial"/>
          <w:color w:val="222222"/>
          <w:sz w:val="20"/>
          <w:szCs w:val="20"/>
        </w:rPr>
        <w:t xml:space="preserve"> with one another for an ef</w:t>
      </w:r>
      <w:r w:rsidR="00633E6D">
        <w:rPr>
          <w:rFonts w:ascii="Arial" w:eastAsia="Times New Roman" w:hAnsi="Arial" w:cs="Arial"/>
          <w:color w:val="222222"/>
          <w:sz w:val="20"/>
          <w:szCs w:val="20"/>
        </w:rPr>
        <w:t>fective funding rate of only 12</w:t>
      </w:r>
      <w:r w:rsidR="00633E6D" w:rsidRPr="005C5FEC">
        <w:rPr>
          <w:rFonts w:ascii="Arial" w:eastAsia="Times New Roman" w:hAnsi="Arial" w:cs="Arial"/>
          <w:color w:val="222222"/>
          <w:sz w:val="20"/>
          <w:szCs w:val="20"/>
        </w:rPr>
        <w:t>%</w:t>
      </w:r>
      <w:r w:rsidR="007B182B">
        <w:rPr>
          <w:rFonts w:ascii="Arial" w:eastAsia="Times New Roman" w:hAnsi="Arial" w:cs="Arial"/>
          <w:color w:val="222222"/>
          <w:sz w:val="20"/>
          <w:szCs w:val="20"/>
        </w:rPr>
        <w:t xml:space="preserve">.  </w:t>
      </w:r>
      <w:r w:rsidR="00633E6D" w:rsidRPr="005C5FEC">
        <w:rPr>
          <w:rFonts w:ascii="Arial" w:eastAsia="Times New Roman" w:hAnsi="Arial" w:cs="Arial"/>
          <w:color w:val="222222"/>
          <w:sz w:val="20"/>
          <w:szCs w:val="20"/>
        </w:rPr>
        <w:t>Using the</w:t>
      </w:r>
      <w:r w:rsidR="00633E6D">
        <w:rPr>
          <w:rFonts w:ascii="Arial" w:eastAsia="Times New Roman" w:hAnsi="Arial" w:cs="Arial"/>
          <w:color w:val="222222"/>
          <w:sz w:val="20"/>
          <w:szCs w:val="20"/>
        </w:rPr>
        <w:t>se</w:t>
      </w:r>
      <w:r w:rsidR="00633E6D" w:rsidRPr="005C5FEC">
        <w:rPr>
          <w:rFonts w:ascii="Arial" w:eastAsia="Times New Roman" w:hAnsi="Arial" w:cs="Arial"/>
          <w:color w:val="222222"/>
          <w:sz w:val="20"/>
          <w:szCs w:val="20"/>
        </w:rPr>
        <w:t xml:space="preserve"> conditional probabilities </w:t>
      </w:r>
      <w:r w:rsidR="00633E6D">
        <w:rPr>
          <w:rFonts w:ascii="Arial" w:eastAsia="Times New Roman" w:hAnsi="Arial" w:cs="Arial"/>
          <w:color w:val="222222"/>
          <w:sz w:val="20"/>
          <w:szCs w:val="20"/>
        </w:rPr>
        <w:t xml:space="preserve">for three consecutive attempts, </w:t>
      </w:r>
      <w:r w:rsidR="00633E6D" w:rsidRPr="005C5FEC">
        <w:rPr>
          <w:rFonts w:ascii="Arial" w:eastAsia="Times New Roman" w:hAnsi="Arial" w:cs="Arial"/>
          <w:color w:val="222222"/>
          <w:sz w:val="20"/>
          <w:szCs w:val="20"/>
        </w:rPr>
        <w:t>one-eighth of th</w:t>
      </w:r>
      <w:r w:rsidR="00633E6D">
        <w:rPr>
          <w:rFonts w:ascii="Arial" w:eastAsia="Times New Roman" w:hAnsi="Arial" w:cs="Arial"/>
          <w:color w:val="222222"/>
          <w:sz w:val="20"/>
          <w:szCs w:val="20"/>
        </w:rPr>
        <w:t xml:space="preserve">e presently funded researchers (1 - </w:t>
      </w:r>
      <w:proofErr w:type="gramStart"/>
      <w:r w:rsidR="00633E6D" w:rsidRPr="005C5FEC">
        <w:rPr>
          <w:rFonts w:ascii="Arial" w:eastAsia="Times New Roman" w:hAnsi="Arial" w:cs="Arial"/>
          <w:color w:val="222222"/>
          <w:sz w:val="20"/>
          <w:szCs w:val="20"/>
        </w:rPr>
        <w:t>0.</w:t>
      </w:r>
      <w:r w:rsidR="00633E6D">
        <w:rPr>
          <w:rFonts w:ascii="Arial" w:eastAsia="Times New Roman" w:hAnsi="Arial" w:cs="Arial"/>
          <w:color w:val="222222"/>
          <w:sz w:val="20"/>
          <w:szCs w:val="20"/>
        </w:rPr>
        <w:t>5)</w:t>
      </w:r>
      <w:r w:rsidR="00633E6D" w:rsidRPr="00915C46">
        <w:rPr>
          <w:rFonts w:ascii="Arial" w:eastAsia="Times New Roman" w:hAnsi="Arial" w:cs="Arial"/>
          <w:color w:val="222222"/>
          <w:sz w:val="20"/>
          <w:szCs w:val="20"/>
          <w:vertAlign w:val="superscript"/>
        </w:rPr>
        <w:t>3</w:t>
      </w:r>
      <w:proofErr w:type="gramEnd"/>
      <w:r w:rsidR="00633E6D" w:rsidRPr="005C5FEC">
        <w:rPr>
          <w:rFonts w:ascii="Arial" w:eastAsia="Times New Roman" w:hAnsi="Arial" w:cs="Arial"/>
          <w:color w:val="222222"/>
          <w:sz w:val="20"/>
          <w:szCs w:val="20"/>
        </w:rPr>
        <w:t xml:space="preserve"> plus two-thirds of the present</w:t>
      </w:r>
      <w:r w:rsidR="00633E6D">
        <w:rPr>
          <w:rFonts w:ascii="Arial" w:eastAsia="Times New Roman" w:hAnsi="Arial" w:cs="Arial"/>
          <w:color w:val="222222"/>
          <w:sz w:val="20"/>
          <w:szCs w:val="20"/>
        </w:rPr>
        <w:t>ly unfunded or new researchers (1 - 0.12)</w:t>
      </w:r>
      <w:r w:rsidR="00633E6D" w:rsidRPr="00915C46">
        <w:rPr>
          <w:rFonts w:ascii="Arial" w:eastAsia="Times New Roman" w:hAnsi="Arial" w:cs="Arial"/>
          <w:color w:val="222222"/>
          <w:sz w:val="20"/>
          <w:szCs w:val="20"/>
          <w:vertAlign w:val="superscript"/>
        </w:rPr>
        <w:t>3</w:t>
      </w:r>
      <w:r w:rsidR="00633E6D">
        <w:rPr>
          <w:rFonts w:ascii="Arial" w:eastAsia="Times New Roman" w:hAnsi="Arial" w:cs="Arial"/>
          <w:color w:val="222222"/>
          <w:sz w:val="20"/>
          <w:szCs w:val="20"/>
        </w:rPr>
        <w:t>, or a total of ~80</w:t>
      </w:r>
      <w:r w:rsidR="00633E6D" w:rsidRPr="005C5FEC">
        <w:rPr>
          <w:rFonts w:ascii="Arial" w:eastAsia="Times New Roman" w:hAnsi="Arial" w:cs="Arial"/>
          <w:color w:val="222222"/>
          <w:sz w:val="20"/>
          <w:szCs w:val="20"/>
        </w:rPr>
        <w:t xml:space="preserve">% of proposers, will be unable to secure </w:t>
      </w:r>
      <w:r w:rsidR="00633E6D">
        <w:rPr>
          <w:rFonts w:ascii="Arial" w:eastAsia="Times New Roman" w:hAnsi="Arial" w:cs="Arial"/>
          <w:color w:val="222222"/>
          <w:sz w:val="20"/>
          <w:szCs w:val="20"/>
        </w:rPr>
        <w:t>grants</w:t>
      </w:r>
      <w:r w:rsidR="00633E6D" w:rsidRPr="005C5FEC">
        <w:rPr>
          <w:rFonts w:ascii="Arial" w:eastAsia="Times New Roman" w:hAnsi="Arial" w:cs="Arial"/>
          <w:color w:val="222222"/>
          <w:sz w:val="20"/>
          <w:szCs w:val="20"/>
        </w:rPr>
        <w:t xml:space="preserve"> for their research</w:t>
      </w:r>
      <w:r w:rsidR="00633E6D">
        <w:rPr>
          <w:rFonts w:ascii="Arial" w:eastAsia="Times New Roman" w:hAnsi="Arial" w:cs="Arial"/>
          <w:color w:val="222222"/>
          <w:sz w:val="20"/>
          <w:szCs w:val="20"/>
        </w:rPr>
        <w:t xml:space="preserve"> in a three-year funding cycle. </w:t>
      </w:r>
    </w:p>
    <w:p w14:paraId="5F1CD64F" w14:textId="6C1A485B" w:rsidR="004E634D" w:rsidRDefault="004E634D" w:rsidP="00F03B89">
      <w:pPr>
        <w:shd w:val="clear" w:color="auto" w:fill="FFFFFF"/>
        <w:spacing w:before="240" w:after="120" w:line="240" w:lineRule="auto"/>
        <w:rPr>
          <w:rFonts w:ascii="Arial" w:eastAsia="Times New Roman" w:hAnsi="Arial" w:cs="Arial"/>
          <w:sz w:val="20"/>
          <w:szCs w:val="20"/>
        </w:rPr>
      </w:pPr>
      <w:r>
        <w:rPr>
          <w:rFonts w:ascii="Arial" w:eastAsia="Times New Roman" w:hAnsi="Arial" w:cs="Arial"/>
          <w:sz w:val="20"/>
          <w:szCs w:val="20"/>
        </w:rPr>
        <w:t>In this scenario, for a</w:t>
      </w:r>
      <w:r w:rsidRPr="00CA478D">
        <w:rPr>
          <w:rFonts w:ascii="Arial" w:eastAsia="Times New Roman" w:hAnsi="Arial" w:cs="Arial"/>
          <w:sz w:val="20"/>
          <w:szCs w:val="20"/>
        </w:rPr>
        <w:t xml:space="preserve"> funding rate </w:t>
      </w:r>
      <w:r>
        <w:rPr>
          <w:rFonts w:ascii="Arial" w:eastAsia="Times New Roman" w:hAnsi="Arial" w:cs="Arial"/>
          <w:sz w:val="20"/>
          <w:szCs w:val="20"/>
        </w:rPr>
        <w:t>around 20%,</w:t>
      </w:r>
      <w:r w:rsidRPr="00CA478D">
        <w:rPr>
          <w:rFonts w:ascii="Arial" w:eastAsia="Times New Roman" w:hAnsi="Arial" w:cs="Arial"/>
          <w:sz w:val="20"/>
          <w:szCs w:val="20"/>
        </w:rPr>
        <w:t xml:space="preserve"> </w:t>
      </w:r>
      <w:r>
        <w:rPr>
          <w:rFonts w:ascii="Arial" w:eastAsia="Times New Roman" w:hAnsi="Arial" w:cs="Arial"/>
          <w:sz w:val="20"/>
          <w:szCs w:val="20"/>
        </w:rPr>
        <w:t>even investigators who currently have success with funding proposals may soon find themselves in</w:t>
      </w:r>
      <w:r w:rsidRPr="00CA478D">
        <w:rPr>
          <w:rFonts w:ascii="Arial" w:eastAsia="Times New Roman" w:hAnsi="Arial" w:cs="Arial"/>
          <w:sz w:val="20"/>
          <w:szCs w:val="20"/>
        </w:rPr>
        <w:t xml:space="preserve"> a "meta-stable" situation</w:t>
      </w:r>
      <w:r>
        <w:rPr>
          <w:rFonts w:ascii="Arial" w:eastAsia="Times New Roman" w:hAnsi="Arial" w:cs="Arial"/>
          <w:sz w:val="20"/>
          <w:szCs w:val="20"/>
        </w:rPr>
        <w:t>,</w:t>
      </w:r>
      <w:r w:rsidRPr="00CA478D">
        <w:rPr>
          <w:rFonts w:ascii="Arial" w:eastAsia="Times New Roman" w:hAnsi="Arial" w:cs="Arial"/>
          <w:sz w:val="20"/>
          <w:szCs w:val="20"/>
        </w:rPr>
        <w:t xml:space="preserve"> </w:t>
      </w:r>
      <w:r>
        <w:rPr>
          <w:rFonts w:ascii="Arial" w:eastAsia="Times New Roman" w:hAnsi="Arial" w:cs="Arial"/>
          <w:sz w:val="20"/>
          <w:szCs w:val="20"/>
        </w:rPr>
        <w:t>in which</w:t>
      </w:r>
      <w:r w:rsidRPr="00CA478D">
        <w:rPr>
          <w:rFonts w:ascii="Arial" w:eastAsia="Times New Roman" w:hAnsi="Arial" w:cs="Arial"/>
          <w:sz w:val="20"/>
          <w:szCs w:val="20"/>
        </w:rPr>
        <w:t xml:space="preserve"> they </w:t>
      </w:r>
      <w:r>
        <w:rPr>
          <w:rFonts w:ascii="Arial" w:eastAsia="Times New Roman" w:hAnsi="Arial" w:cs="Arial"/>
          <w:sz w:val="20"/>
          <w:szCs w:val="20"/>
        </w:rPr>
        <w:t>experience</w:t>
      </w:r>
      <w:r w:rsidRPr="00CA478D">
        <w:rPr>
          <w:rFonts w:ascii="Arial" w:eastAsia="Times New Roman" w:hAnsi="Arial" w:cs="Arial"/>
          <w:sz w:val="20"/>
          <w:szCs w:val="20"/>
        </w:rPr>
        <w:t xml:space="preserve"> a reasonably good funding rate for </w:t>
      </w:r>
      <w:r>
        <w:rPr>
          <w:rFonts w:ascii="Arial" w:eastAsia="Times New Roman" w:hAnsi="Arial" w:cs="Arial"/>
          <w:sz w:val="20"/>
          <w:szCs w:val="20"/>
        </w:rPr>
        <w:t>some</w:t>
      </w:r>
      <w:r w:rsidRPr="00CA478D">
        <w:rPr>
          <w:rFonts w:ascii="Arial" w:eastAsia="Times New Roman" w:hAnsi="Arial" w:cs="Arial"/>
          <w:sz w:val="20"/>
          <w:szCs w:val="20"/>
        </w:rPr>
        <w:t xml:space="preserve"> number of years </w:t>
      </w:r>
      <w:r>
        <w:rPr>
          <w:rFonts w:ascii="Arial" w:eastAsia="Times New Roman" w:hAnsi="Arial" w:cs="Arial"/>
          <w:sz w:val="20"/>
          <w:szCs w:val="20"/>
        </w:rPr>
        <w:t>before</w:t>
      </w:r>
      <w:r w:rsidRPr="00CA478D">
        <w:rPr>
          <w:rFonts w:ascii="Arial" w:eastAsia="Times New Roman" w:hAnsi="Arial" w:cs="Arial"/>
          <w:sz w:val="20"/>
          <w:szCs w:val="20"/>
        </w:rPr>
        <w:t xml:space="preserve"> the probabilities catch up with them and they "phase transiti</w:t>
      </w:r>
      <w:r>
        <w:rPr>
          <w:rFonts w:ascii="Arial" w:eastAsia="Times New Roman" w:hAnsi="Arial" w:cs="Arial"/>
          <w:sz w:val="20"/>
          <w:szCs w:val="20"/>
        </w:rPr>
        <w:t xml:space="preserve">on" into the unsuccessful group, </w:t>
      </w:r>
      <w:r w:rsidRPr="00CA478D">
        <w:rPr>
          <w:rFonts w:ascii="Arial" w:eastAsia="Times New Roman" w:hAnsi="Arial" w:cs="Arial"/>
          <w:sz w:val="20"/>
          <w:szCs w:val="20"/>
        </w:rPr>
        <w:t xml:space="preserve">and therefore drop </w:t>
      </w:r>
      <w:r>
        <w:rPr>
          <w:rFonts w:ascii="Arial" w:eastAsia="Times New Roman" w:hAnsi="Arial" w:cs="Arial"/>
          <w:sz w:val="20"/>
          <w:szCs w:val="20"/>
        </w:rPr>
        <w:t>into the long-unfunded category.</w:t>
      </w:r>
    </w:p>
    <w:p w14:paraId="2061274D" w14:textId="77777777" w:rsidR="004E634D" w:rsidRPr="004E634D" w:rsidRDefault="004E634D" w:rsidP="00B00D46">
      <w:pPr>
        <w:shd w:val="clear" w:color="auto" w:fill="FFFFFF"/>
        <w:spacing w:after="0" w:line="240" w:lineRule="auto"/>
        <w:rPr>
          <w:rFonts w:ascii="Arial" w:eastAsia="Times New Roman" w:hAnsi="Arial" w:cs="Arial"/>
          <w:sz w:val="20"/>
          <w:szCs w:val="20"/>
        </w:rPr>
      </w:pPr>
    </w:p>
    <w:tbl>
      <w:tblPr>
        <w:tblStyle w:val="ColorfulShading"/>
        <w:tblW w:w="0" w:type="auto"/>
        <w:tblLook w:val="0420" w:firstRow="1" w:lastRow="0" w:firstColumn="0" w:lastColumn="0" w:noHBand="0" w:noVBand="1"/>
      </w:tblPr>
      <w:tblGrid>
        <w:gridCol w:w="1596"/>
        <w:gridCol w:w="1596"/>
        <w:gridCol w:w="1596"/>
        <w:gridCol w:w="1596"/>
        <w:gridCol w:w="1596"/>
        <w:gridCol w:w="1596"/>
      </w:tblGrid>
      <w:tr w:rsidR="004E634D" w14:paraId="5B5ACD14" w14:textId="77777777" w:rsidTr="00B2157E">
        <w:trPr>
          <w:cnfStyle w:val="100000000000" w:firstRow="1" w:lastRow="0" w:firstColumn="0" w:lastColumn="0" w:oddVBand="0" w:evenVBand="0" w:oddHBand="0" w:evenHBand="0" w:firstRowFirstColumn="0" w:firstRowLastColumn="0" w:lastRowFirstColumn="0" w:lastRowLastColumn="0"/>
        </w:trPr>
        <w:tc>
          <w:tcPr>
            <w:tcW w:w="1596" w:type="dxa"/>
            <w:tcBorders>
              <w:top w:val="single" w:sz="4" w:space="0" w:color="auto"/>
              <w:left w:val="single" w:sz="4" w:space="0" w:color="auto"/>
              <w:bottom w:val="single" w:sz="4" w:space="0" w:color="auto"/>
              <w:right w:val="single" w:sz="4" w:space="0" w:color="auto"/>
            </w:tcBorders>
            <w:vAlign w:val="center"/>
          </w:tcPr>
          <w:p w14:paraId="1C8F313E" w14:textId="77777777" w:rsidR="004E634D" w:rsidRDefault="004E634D" w:rsidP="00B2157E">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PROPOSAL SUCCESS RATE</w:t>
            </w:r>
          </w:p>
        </w:tc>
        <w:tc>
          <w:tcPr>
            <w:tcW w:w="1596" w:type="dxa"/>
            <w:tcBorders>
              <w:top w:val="single" w:sz="4" w:space="0" w:color="auto"/>
              <w:left w:val="single" w:sz="4" w:space="0" w:color="auto"/>
              <w:bottom w:val="single" w:sz="4" w:space="0" w:color="auto"/>
              <w:right w:val="single" w:sz="4" w:space="0" w:color="auto"/>
            </w:tcBorders>
            <w:vAlign w:val="center"/>
          </w:tcPr>
          <w:p w14:paraId="3C60E214" w14:textId="77777777" w:rsidR="004E634D" w:rsidRDefault="004E634D" w:rsidP="00B2157E">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w:t>
            </w:r>
            <w:r>
              <w:rPr>
                <w:rFonts w:ascii="Arial" w:eastAsia="Times New Roman" w:hAnsi="Arial" w:cs="Arial"/>
                <w:i/>
                <w:color w:val="222222"/>
                <w:sz w:val="20"/>
                <w:szCs w:val="20"/>
              </w:rPr>
              <w:br/>
              <w:t>1 try</w:t>
            </w:r>
          </w:p>
        </w:tc>
        <w:tc>
          <w:tcPr>
            <w:tcW w:w="1596" w:type="dxa"/>
            <w:tcBorders>
              <w:top w:val="single" w:sz="4" w:space="0" w:color="auto"/>
              <w:left w:val="single" w:sz="4" w:space="0" w:color="auto"/>
              <w:bottom w:val="single" w:sz="4" w:space="0" w:color="auto"/>
              <w:right w:val="single" w:sz="4" w:space="0" w:color="auto"/>
            </w:tcBorders>
            <w:vAlign w:val="center"/>
          </w:tcPr>
          <w:p w14:paraId="6BCDE8D6" w14:textId="77777777" w:rsidR="004E634D" w:rsidRDefault="004E634D" w:rsidP="00B2157E">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2 tries</w:t>
            </w:r>
          </w:p>
        </w:tc>
        <w:tc>
          <w:tcPr>
            <w:tcW w:w="1596" w:type="dxa"/>
            <w:tcBorders>
              <w:top w:val="single" w:sz="4" w:space="0" w:color="auto"/>
              <w:left w:val="single" w:sz="4" w:space="0" w:color="auto"/>
              <w:bottom w:val="single" w:sz="4" w:space="0" w:color="auto"/>
              <w:right w:val="single" w:sz="4" w:space="0" w:color="auto"/>
            </w:tcBorders>
            <w:vAlign w:val="center"/>
          </w:tcPr>
          <w:p w14:paraId="556A5632" w14:textId="77777777" w:rsidR="004E634D" w:rsidRDefault="004E634D" w:rsidP="00B2157E">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3 tries</w:t>
            </w:r>
          </w:p>
        </w:tc>
        <w:tc>
          <w:tcPr>
            <w:tcW w:w="1596" w:type="dxa"/>
            <w:tcBorders>
              <w:top w:val="single" w:sz="4" w:space="0" w:color="auto"/>
              <w:left w:val="single" w:sz="4" w:space="0" w:color="auto"/>
              <w:bottom w:val="single" w:sz="4" w:space="0" w:color="auto"/>
              <w:right w:val="single" w:sz="4" w:space="0" w:color="auto"/>
            </w:tcBorders>
            <w:vAlign w:val="center"/>
          </w:tcPr>
          <w:p w14:paraId="6B79B120" w14:textId="77777777" w:rsidR="004E634D" w:rsidRDefault="004E634D" w:rsidP="00B2157E">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4 tries</w:t>
            </w:r>
          </w:p>
        </w:tc>
        <w:tc>
          <w:tcPr>
            <w:tcW w:w="1596" w:type="dxa"/>
            <w:tcBorders>
              <w:top w:val="single" w:sz="4" w:space="0" w:color="auto"/>
              <w:left w:val="single" w:sz="4" w:space="0" w:color="auto"/>
              <w:bottom w:val="single" w:sz="4" w:space="0" w:color="auto"/>
              <w:right w:val="single" w:sz="4" w:space="0" w:color="auto"/>
            </w:tcBorders>
            <w:vAlign w:val="center"/>
          </w:tcPr>
          <w:p w14:paraId="368D0738" w14:textId="77777777" w:rsidR="004E634D" w:rsidRDefault="004E634D" w:rsidP="00B2157E">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5 tries</w:t>
            </w:r>
          </w:p>
        </w:tc>
      </w:tr>
      <w:tr w:rsidR="004E634D" w:rsidRPr="00C63537" w14:paraId="78984BB1" w14:textId="77777777" w:rsidTr="00B2157E">
        <w:trPr>
          <w:cnfStyle w:val="000000100000" w:firstRow="0" w:lastRow="0" w:firstColumn="0" w:lastColumn="0" w:oddVBand="0" w:evenVBand="0" w:oddHBand="1" w:evenHBand="0" w:firstRowFirstColumn="0" w:firstRowLastColumn="0" w:lastRowFirstColumn="0" w:lastRowLastColumn="0"/>
        </w:trPr>
        <w:tc>
          <w:tcPr>
            <w:tcW w:w="1596" w:type="dxa"/>
            <w:tcBorders>
              <w:top w:val="single" w:sz="4" w:space="0" w:color="auto"/>
            </w:tcBorders>
            <w:vAlign w:val="center"/>
          </w:tcPr>
          <w:p w14:paraId="457A5B05" w14:textId="77777777" w:rsidR="004E634D" w:rsidRPr="00CE3FED" w:rsidRDefault="004E634D" w:rsidP="00B2157E">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10%</w:t>
            </w:r>
          </w:p>
        </w:tc>
        <w:tc>
          <w:tcPr>
            <w:tcW w:w="1596" w:type="dxa"/>
            <w:tcBorders>
              <w:top w:val="single" w:sz="4" w:space="0" w:color="auto"/>
            </w:tcBorders>
            <w:vAlign w:val="center"/>
          </w:tcPr>
          <w:p w14:paraId="0202B818"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90%</w:t>
            </w:r>
          </w:p>
        </w:tc>
        <w:tc>
          <w:tcPr>
            <w:tcW w:w="1596" w:type="dxa"/>
            <w:tcBorders>
              <w:top w:val="single" w:sz="4" w:space="0" w:color="auto"/>
            </w:tcBorders>
            <w:vAlign w:val="center"/>
          </w:tcPr>
          <w:p w14:paraId="3D5D2C10"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81</w:t>
            </w:r>
            <w:r>
              <w:rPr>
                <w:rFonts w:ascii="Arial" w:hAnsi="Arial" w:cs="Arial"/>
                <w:sz w:val="20"/>
                <w:szCs w:val="20"/>
              </w:rPr>
              <w:t>%</w:t>
            </w:r>
          </w:p>
        </w:tc>
        <w:tc>
          <w:tcPr>
            <w:tcW w:w="1596" w:type="dxa"/>
            <w:tcBorders>
              <w:top w:val="single" w:sz="4" w:space="0" w:color="auto"/>
            </w:tcBorders>
            <w:shd w:val="clear" w:color="auto" w:fill="FF0000"/>
            <w:vAlign w:val="center"/>
          </w:tcPr>
          <w:p w14:paraId="3A703642"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73</w:t>
            </w:r>
            <w:r>
              <w:rPr>
                <w:rFonts w:ascii="Arial" w:hAnsi="Arial" w:cs="Arial"/>
                <w:sz w:val="20"/>
                <w:szCs w:val="20"/>
              </w:rPr>
              <w:t>%</w:t>
            </w:r>
          </w:p>
        </w:tc>
        <w:tc>
          <w:tcPr>
            <w:tcW w:w="1596" w:type="dxa"/>
            <w:tcBorders>
              <w:top w:val="single" w:sz="4" w:space="0" w:color="auto"/>
            </w:tcBorders>
            <w:vAlign w:val="center"/>
          </w:tcPr>
          <w:p w14:paraId="7DDE67A7"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66</w:t>
            </w:r>
            <w:r>
              <w:rPr>
                <w:rFonts w:ascii="Arial" w:hAnsi="Arial" w:cs="Arial"/>
                <w:sz w:val="20"/>
                <w:szCs w:val="20"/>
              </w:rPr>
              <w:t>%</w:t>
            </w:r>
          </w:p>
        </w:tc>
        <w:tc>
          <w:tcPr>
            <w:tcW w:w="1596" w:type="dxa"/>
            <w:tcBorders>
              <w:top w:val="single" w:sz="4" w:space="0" w:color="auto"/>
            </w:tcBorders>
            <w:vAlign w:val="center"/>
          </w:tcPr>
          <w:p w14:paraId="583B5E2A"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59</w:t>
            </w:r>
            <w:r>
              <w:rPr>
                <w:rFonts w:ascii="Arial" w:hAnsi="Arial" w:cs="Arial"/>
                <w:sz w:val="20"/>
                <w:szCs w:val="20"/>
              </w:rPr>
              <w:t>%</w:t>
            </w:r>
          </w:p>
        </w:tc>
      </w:tr>
      <w:tr w:rsidR="004E634D" w:rsidRPr="00C63537" w14:paraId="3AFD9B0F" w14:textId="77777777" w:rsidTr="00B2157E">
        <w:tc>
          <w:tcPr>
            <w:tcW w:w="1596" w:type="dxa"/>
            <w:vAlign w:val="center"/>
          </w:tcPr>
          <w:p w14:paraId="059CCEB9" w14:textId="77777777" w:rsidR="004E634D" w:rsidRPr="00CE3FED" w:rsidRDefault="004E634D" w:rsidP="00B2157E">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15%</w:t>
            </w:r>
          </w:p>
        </w:tc>
        <w:tc>
          <w:tcPr>
            <w:tcW w:w="1596" w:type="dxa"/>
            <w:vAlign w:val="center"/>
          </w:tcPr>
          <w:p w14:paraId="6BB347C7"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85</w:t>
            </w:r>
            <w:r>
              <w:rPr>
                <w:rFonts w:ascii="Arial" w:hAnsi="Arial" w:cs="Arial"/>
                <w:sz w:val="20"/>
                <w:szCs w:val="20"/>
              </w:rPr>
              <w:t>%</w:t>
            </w:r>
          </w:p>
        </w:tc>
        <w:tc>
          <w:tcPr>
            <w:tcW w:w="1596" w:type="dxa"/>
            <w:vAlign w:val="center"/>
          </w:tcPr>
          <w:p w14:paraId="57D57C73"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72</w:t>
            </w:r>
            <w:r>
              <w:rPr>
                <w:rFonts w:ascii="Arial" w:hAnsi="Arial" w:cs="Arial"/>
                <w:sz w:val="20"/>
                <w:szCs w:val="20"/>
              </w:rPr>
              <w:t>%</w:t>
            </w:r>
          </w:p>
        </w:tc>
        <w:tc>
          <w:tcPr>
            <w:tcW w:w="1596" w:type="dxa"/>
            <w:vAlign w:val="center"/>
          </w:tcPr>
          <w:p w14:paraId="34143BFE"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61</w:t>
            </w:r>
            <w:r>
              <w:rPr>
                <w:rFonts w:ascii="Arial" w:hAnsi="Arial" w:cs="Arial"/>
                <w:sz w:val="20"/>
                <w:szCs w:val="20"/>
              </w:rPr>
              <w:t>%</w:t>
            </w:r>
          </w:p>
        </w:tc>
        <w:tc>
          <w:tcPr>
            <w:tcW w:w="1596" w:type="dxa"/>
            <w:vAlign w:val="center"/>
          </w:tcPr>
          <w:p w14:paraId="074E4E8D"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52</w:t>
            </w:r>
            <w:r>
              <w:rPr>
                <w:rFonts w:ascii="Arial" w:hAnsi="Arial" w:cs="Arial"/>
                <w:sz w:val="20"/>
                <w:szCs w:val="20"/>
              </w:rPr>
              <w:t>%</w:t>
            </w:r>
          </w:p>
        </w:tc>
        <w:tc>
          <w:tcPr>
            <w:tcW w:w="1596" w:type="dxa"/>
            <w:vAlign w:val="center"/>
          </w:tcPr>
          <w:p w14:paraId="62283171"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44</w:t>
            </w:r>
            <w:r>
              <w:rPr>
                <w:rFonts w:ascii="Arial" w:hAnsi="Arial" w:cs="Arial"/>
                <w:sz w:val="20"/>
                <w:szCs w:val="20"/>
              </w:rPr>
              <w:t>%</w:t>
            </w:r>
          </w:p>
        </w:tc>
      </w:tr>
      <w:tr w:rsidR="004E634D" w:rsidRPr="00C63537" w14:paraId="233870F4" w14:textId="77777777" w:rsidTr="00B2157E">
        <w:trPr>
          <w:cnfStyle w:val="000000100000" w:firstRow="0" w:lastRow="0" w:firstColumn="0" w:lastColumn="0" w:oddVBand="0" w:evenVBand="0" w:oddHBand="1" w:evenHBand="0" w:firstRowFirstColumn="0" w:firstRowLastColumn="0" w:lastRowFirstColumn="0" w:lastRowLastColumn="0"/>
        </w:trPr>
        <w:tc>
          <w:tcPr>
            <w:tcW w:w="1596" w:type="dxa"/>
            <w:vAlign w:val="center"/>
          </w:tcPr>
          <w:p w14:paraId="2E327494" w14:textId="77777777" w:rsidR="004E634D" w:rsidRPr="00CE3FED" w:rsidRDefault="004E634D" w:rsidP="00B2157E">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20%</w:t>
            </w:r>
          </w:p>
        </w:tc>
        <w:tc>
          <w:tcPr>
            <w:tcW w:w="1596" w:type="dxa"/>
            <w:vAlign w:val="center"/>
          </w:tcPr>
          <w:p w14:paraId="60AF1B58"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80</w:t>
            </w:r>
            <w:r>
              <w:rPr>
                <w:rFonts w:ascii="Arial" w:hAnsi="Arial" w:cs="Arial"/>
                <w:sz w:val="20"/>
                <w:szCs w:val="20"/>
              </w:rPr>
              <w:t>%</w:t>
            </w:r>
          </w:p>
        </w:tc>
        <w:tc>
          <w:tcPr>
            <w:tcW w:w="1596" w:type="dxa"/>
            <w:vAlign w:val="center"/>
          </w:tcPr>
          <w:p w14:paraId="38B8E70B"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64</w:t>
            </w:r>
            <w:r>
              <w:rPr>
                <w:rFonts w:ascii="Arial" w:hAnsi="Arial" w:cs="Arial"/>
                <w:sz w:val="20"/>
                <w:szCs w:val="20"/>
              </w:rPr>
              <w:t>%</w:t>
            </w:r>
          </w:p>
        </w:tc>
        <w:tc>
          <w:tcPr>
            <w:tcW w:w="1596" w:type="dxa"/>
            <w:shd w:val="clear" w:color="auto" w:fill="FFC000"/>
            <w:vAlign w:val="center"/>
          </w:tcPr>
          <w:p w14:paraId="2884764D"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51</w:t>
            </w:r>
            <w:r>
              <w:rPr>
                <w:rFonts w:ascii="Arial" w:hAnsi="Arial" w:cs="Arial"/>
                <w:sz w:val="20"/>
                <w:szCs w:val="20"/>
              </w:rPr>
              <w:t>%</w:t>
            </w:r>
          </w:p>
        </w:tc>
        <w:tc>
          <w:tcPr>
            <w:tcW w:w="1596" w:type="dxa"/>
            <w:vAlign w:val="center"/>
          </w:tcPr>
          <w:p w14:paraId="7CBB31A0"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41</w:t>
            </w:r>
            <w:r>
              <w:rPr>
                <w:rFonts w:ascii="Arial" w:hAnsi="Arial" w:cs="Arial"/>
                <w:sz w:val="20"/>
                <w:szCs w:val="20"/>
              </w:rPr>
              <w:t>%</w:t>
            </w:r>
          </w:p>
        </w:tc>
        <w:tc>
          <w:tcPr>
            <w:tcW w:w="1596" w:type="dxa"/>
            <w:vAlign w:val="center"/>
          </w:tcPr>
          <w:p w14:paraId="346BB62B"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33</w:t>
            </w:r>
            <w:r>
              <w:rPr>
                <w:rFonts w:ascii="Arial" w:hAnsi="Arial" w:cs="Arial"/>
                <w:sz w:val="20"/>
                <w:szCs w:val="20"/>
              </w:rPr>
              <w:t>%</w:t>
            </w:r>
          </w:p>
        </w:tc>
      </w:tr>
      <w:tr w:rsidR="004E634D" w:rsidRPr="00C63537" w14:paraId="193BCA66" w14:textId="77777777" w:rsidTr="00B2157E">
        <w:tc>
          <w:tcPr>
            <w:tcW w:w="1596" w:type="dxa"/>
            <w:vAlign w:val="center"/>
          </w:tcPr>
          <w:p w14:paraId="4752189B" w14:textId="77777777" w:rsidR="004E634D" w:rsidRPr="00CE3FED" w:rsidRDefault="004E634D" w:rsidP="00B2157E">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25%</w:t>
            </w:r>
          </w:p>
        </w:tc>
        <w:tc>
          <w:tcPr>
            <w:tcW w:w="1596" w:type="dxa"/>
            <w:vAlign w:val="center"/>
          </w:tcPr>
          <w:p w14:paraId="3386D597"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75</w:t>
            </w:r>
            <w:r>
              <w:rPr>
                <w:rFonts w:ascii="Arial" w:hAnsi="Arial" w:cs="Arial"/>
                <w:sz w:val="20"/>
                <w:szCs w:val="20"/>
              </w:rPr>
              <w:t>%</w:t>
            </w:r>
          </w:p>
        </w:tc>
        <w:tc>
          <w:tcPr>
            <w:tcW w:w="1596" w:type="dxa"/>
            <w:vAlign w:val="center"/>
          </w:tcPr>
          <w:p w14:paraId="56BCCF2E"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56</w:t>
            </w:r>
            <w:r>
              <w:rPr>
                <w:rFonts w:ascii="Arial" w:hAnsi="Arial" w:cs="Arial"/>
                <w:sz w:val="20"/>
                <w:szCs w:val="20"/>
              </w:rPr>
              <w:t>%</w:t>
            </w:r>
          </w:p>
        </w:tc>
        <w:tc>
          <w:tcPr>
            <w:tcW w:w="1596" w:type="dxa"/>
            <w:vAlign w:val="center"/>
          </w:tcPr>
          <w:p w14:paraId="246502EF"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42</w:t>
            </w:r>
            <w:r>
              <w:rPr>
                <w:rFonts w:ascii="Arial" w:hAnsi="Arial" w:cs="Arial"/>
                <w:sz w:val="20"/>
                <w:szCs w:val="20"/>
              </w:rPr>
              <w:t>%</w:t>
            </w:r>
          </w:p>
        </w:tc>
        <w:tc>
          <w:tcPr>
            <w:tcW w:w="1596" w:type="dxa"/>
            <w:vAlign w:val="center"/>
          </w:tcPr>
          <w:p w14:paraId="522E61E4"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32</w:t>
            </w:r>
            <w:r>
              <w:rPr>
                <w:rFonts w:ascii="Arial" w:hAnsi="Arial" w:cs="Arial"/>
                <w:sz w:val="20"/>
                <w:szCs w:val="20"/>
              </w:rPr>
              <w:t>%</w:t>
            </w:r>
          </w:p>
        </w:tc>
        <w:tc>
          <w:tcPr>
            <w:tcW w:w="1596" w:type="dxa"/>
            <w:vAlign w:val="center"/>
          </w:tcPr>
          <w:p w14:paraId="586E4437"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24</w:t>
            </w:r>
            <w:r>
              <w:rPr>
                <w:rFonts w:ascii="Arial" w:hAnsi="Arial" w:cs="Arial"/>
                <w:sz w:val="20"/>
                <w:szCs w:val="20"/>
              </w:rPr>
              <w:t>%</w:t>
            </w:r>
          </w:p>
        </w:tc>
      </w:tr>
      <w:tr w:rsidR="004E634D" w:rsidRPr="00C63537" w14:paraId="5893DE18" w14:textId="77777777" w:rsidTr="00B2157E">
        <w:trPr>
          <w:cnfStyle w:val="000000100000" w:firstRow="0" w:lastRow="0" w:firstColumn="0" w:lastColumn="0" w:oddVBand="0" w:evenVBand="0" w:oddHBand="1" w:evenHBand="0" w:firstRowFirstColumn="0" w:firstRowLastColumn="0" w:lastRowFirstColumn="0" w:lastRowLastColumn="0"/>
        </w:trPr>
        <w:tc>
          <w:tcPr>
            <w:tcW w:w="1596" w:type="dxa"/>
            <w:vAlign w:val="center"/>
          </w:tcPr>
          <w:p w14:paraId="25D06B6C" w14:textId="77777777" w:rsidR="004E634D" w:rsidRPr="00CE3FED" w:rsidRDefault="004E634D" w:rsidP="00B2157E">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30%</w:t>
            </w:r>
          </w:p>
        </w:tc>
        <w:tc>
          <w:tcPr>
            <w:tcW w:w="1596" w:type="dxa"/>
            <w:vAlign w:val="center"/>
          </w:tcPr>
          <w:p w14:paraId="47B5C2D5"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70</w:t>
            </w:r>
            <w:r>
              <w:rPr>
                <w:rFonts w:ascii="Arial" w:hAnsi="Arial" w:cs="Arial"/>
                <w:sz w:val="20"/>
                <w:szCs w:val="20"/>
              </w:rPr>
              <w:t>%</w:t>
            </w:r>
          </w:p>
        </w:tc>
        <w:tc>
          <w:tcPr>
            <w:tcW w:w="1596" w:type="dxa"/>
            <w:vAlign w:val="center"/>
          </w:tcPr>
          <w:p w14:paraId="230052DA"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49</w:t>
            </w:r>
            <w:r>
              <w:rPr>
                <w:rFonts w:ascii="Arial" w:hAnsi="Arial" w:cs="Arial"/>
                <w:sz w:val="20"/>
                <w:szCs w:val="20"/>
              </w:rPr>
              <w:t>%</w:t>
            </w:r>
          </w:p>
        </w:tc>
        <w:tc>
          <w:tcPr>
            <w:tcW w:w="1596" w:type="dxa"/>
            <w:vAlign w:val="center"/>
          </w:tcPr>
          <w:p w14:paraId="5E773721"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34</w:t>
            </w:r>
            <w:r>
              <w:rPr>
                <w:rFonts w:ascii="Arial" w:hAnsi="Arial" w:cs="Arial"/>
                <w:sz w:val="20"/>
                <w:szCs w:val="20"/>
              </w:rPr>
              <w:t>%</w:t>
            </w:r>
          </w:p>
        </w:tc>
        <w:tc>
          <w:tcPr>
            <w:tcW w:w="1596" w:type="dxa"/>
            <w:vAlign w:val="center"/>
          </w:tcPr>
          <w:p w14:paraId="1E8AE733"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24</w:t>
            </w:r>
            <w:r>
              <w:rPr>
                <w:rFonts w:ascii="Arial" w:hAnsi="Arial" w:cs="Arial"/>
                <w:sz w:val="20"/>
                <w:szCs w:val="20"/>
              </w:rPr>
              <w:t>%</w:t>
            </w:r>
          </w:p>
        </w:tc>
        <w:tc>
          <w:tcPr>
            <w:tcW w:w="1596" w:type="dxa"/>
            <w:vAlign w:val="center"/>
          </w:tcPr>
          <w:p w14:paraId="51D44CD1"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17</w:t>
            </w:r>
            <w:r>
              <w:rPr>
                <w:rFonts w:ascii="Arial" w:hAnsi="Arial" w:cs="Arial"/>
                <w:sz w:val="20"/>
                <w:szCs w:val="20"/>
              </w:rPr>
              <w:t>%</w:t>
            </w:r>
          </w:p>
        </w:tc>
      </w:tr>
      <w:tr w:rsidR="004E634D" w:rsidRPr="00C63537" w14:paraId="5EF45791" w14:textId="77777777" w:rsidTr="00B2157E">
        <w:tc>
          <w:tcPr>
            <w:tcW w:w="1596" w:type="dxa"/>
            <w:vAlign w:val="center"/>
          </w:tcPr>
          <w:p w14:paraId="3BBC1556" w14:textId="77777777" w:rsidR="004E634D" w:rsidRPr="00CE3FED" w:rsidRDefault="004E634D" w:rsidP="00B2157E">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35%</w:t>
            </w:r>
          </w:p>
        </w:tc>
        <w:tc>
          <w:tcPr>
            <w:tcW w:w="1596" w:type="dxa"/>
            <w:vAlign w:val="center"/>
          </w:tcPr>
          <w:p w14:paraId="398B5D2F"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65</w:t>
            </w:r>
            <w:r>
              <w:rPr>
                <w:rFonts w:ascii="Arial" w:hAnsi="Arial" w:cs="Arial"/>
                <w:sz w:val="20"/>
                <w:szCs w:val="20"/>
              </w:rPr>
              <w:t>%</w:t>
            </w:r>
          </w:p>
        </w:tc>
        <w:tc>
          <w:tcPr>
            <w:tcW w:w="1596" w:type="dxa"/>
            <w:vAlign w:val="center"/>
          </w:tcPr>
          <w:p w14:paraId="32829EDB"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42</w:t>
            </w:r>
            <w:r>
              <w:rPr>
                <w:rFonts w:ascii="Arial" w:hAnsi="Arial" w:cs="Arial"/>
                <w:sz w:val="20"/>
                <w:szCs w:val="20"/>
              </w:rPr>
              <w:t>%</w:t>
            </w:r>
          </w:p>
        </w:tc>
        <w:tc>
          <w:tcPr>
            <w:tcW w:w="1596" w:type="dxa"/>
            <w:shd w:val="clear" w:color="auto" w:fill="92D050"/>
            <w:vAlign w:val="center"/>
          </w:tcPr>
          <w:p w14:paraId="5814F5AC"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27</w:t>
            </w:r>
            <w:r>
              <w:rPr>
                <w:rFonts w:ascii="Arial" w:hAnsi="Arial" w:cs="Arial"/>
                <w:sz w:val="20"/>
                <w:szCs w:val="20"/>
              </w:rPr>
              <w:t>%</w:t>
            </w:r>
          </w:p>
        </w:tc>
        <w:tc>
          <w:tcPr>
            <w:tcW w:w="1596" w:type="dxa"/>
            <w:vAlign w:val="center"/>
          </w:tcPr>
          <w:p w14:paraId="3721B794"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18</w:t>
            </w:r>
            <w:r>
              <w:rPr>
                <w:rFonts w:ascii="Arial" w:hAnsi="Arial" w:cs="Arial"/>
                <w:sz w:val="20"/>
                <w:szCs w:val="20"/>
              </w:rPr>
              <w:t>%</w:t>
            </w:r>
          </w:p>
        </w:tc>
        <w:tc>
          <w:tcPr>
            <w:tcW w:w="1596" w:type="dxa"/>
            <w:vAlign w:val="center"/>
          </w:tcPr>
          <w:p w14:paraId="238C786B" w14:textId="77777777" w:rsidR="004E634D" w:rsidRPr="00C63537" w:rsidRDefault="004E634D" w:rsidP="00B2157E">
            <w:pPr>
              <w:jc w:val="center"/>
              <w:rPr>
                <w:rFonts w:ascii="Arial" w:hAnsi="Arial" w:cs="Arial"/>
                <w:sz w:val="20"/>
                <w:szCs w:val="20"/>
              </w:rPr>
            </w:pPr>
            <w:r w:rsidRPr="00C63537">
              <w:rPr>
                <w:rFonts w:ascii="Arial" w:hAnsi="Arial" w:cs="Arial"/>
                <w:sz w:val="20"/>
                <w:szCs w:val="20"/>
              </w:rPr>
              <w:t>12</w:t>
            </w:r>
            <w:r>
              <w:rPr>
                <w:rFonts w:ascii="Arial" w:hAnsi="Arial" w:cs="Arial"/>
                <w:sz w:val="20"/>
                <w:szCs w:val="20"/>
              </w:rPr>
              <w:t>%</w:t>
            </w:r>
          </w:p>
        </w:tc>
      </w:tr>
    </w:tbl>
    <w:p w14:paraId="772B450C" w14:textId="77777777" w:rsidR="004E634D" w:rsidRDefault="004E634D" w:rsidP="00F03B89">
      <w:pPr>
        <w:shd w:val="clear" w:color="auto" w:fill="FFFFFF"/>
        <w:spacing w:before="120" w:after="120" w:line="240" w:lineRule="auto"/>
        <w:rPr>
          <w:rFonts w:ascii="Arial" w:eastAsia="Times New Roman" w:hAnsi="Arial" w:cs="Arial"/>
          <w:i/>
          <w:color w:val="222222"/>
          <w:sz w:val="20"/>
          <w:szCs w:val="20"/>
        </w:rPr>
      </w:pPr>
      <w:r w:rsidRPr="002844B3">
        <w:rPr>
          <w:rFonts w:ascii="Arial" w:eastAsia="Times New Roman" w:hAnsi="Arial" w:cs="Arial"/>
          <w:b/>
          <w:i/>
          <w:color w:val="222222"/>
          <w:sz w:val="20"/>
          <w:szCs w:val="20"/>
        </w:rPr>
        <w:t>Table 1.</w:t>
      </w:r>
      <w:r>
        <w:rPr>
          <w:rFonts w:ascii="Arial" w:eastAsia="Times New Roman" w:hAnsi="Arial" w:cs="Arial"/>
          <w:i/>
          <w:color w:val="222222"/>
          <w:sz w:val="20"/>
          <w:szCs w:val="20"/>
        </w:rPr>
        <w:t xml:space="preserve"> </w:t>
      </w:r>
      <w:proofErr w:type="gramStart"/>
      <w:r>
        <w:rPr>
          <w:rFonts w:ascii="Arial" w:eastAsia="Times New Roman" w:hAnsi="Arial" w:cs="Arial"/>
          <w:i/>
          <w:color w:val="222222"/>
          <w:sz w:val="20"/>
          <w:szCs w:val="20"/>
        </w:rPr>
        <w:t>Probabilities of unfunded proposals for different hypothetical funding rates and number of proposal attempts.</w:t>
      </w:r>
      <w:proofErr w:type="gramEnd"/>
      <w:r>
        <w:rPr>
          <w:rFonts w:ascii="Arial" w:eastAsia="Times New Roman" w:hAnsi="Arial" w:cs="Arial"/>
          <w:i/>
          <w:color w:val="222222"/>
          <w:sz w:val="20"/>
          <w:szCs w:val="20"/>
        </w:rPr>
        <w:t xml:space="preserve"> The green shaded cell represents the state of the field circa 2003 (see Fig. 1). The red shaded cell represents the impending situation expected by FY2018 in the absence of portfolio rebalancing. The yellow shaded cell is the nominal “absolute minimum” benchmark</w:t>
      </w:r>
      <w:r w:rsidRPr="00C5105F">
        <w:rPr>
          <w:rFonts w:ascii="Arial" w:eastAsia="Times New Roman" w:hAnsi="Arial" w:cs="Arial"/>
          <w:i/>
          <w:color w:val="222222"/>
          <w:sz w:val="20"/>
          <w:szCs w:val="20"/>
        </w:rPr>
        <w:t xml:space="preserve"> </w:t>
      </w:r>
      <w:r>
        <w:rPr>
          <w:rFonts w:ascii="Arial" w:eastAsia="Times New Roman" w:hAnsi="Arial" w:cs="Arial"/>
          <w:i/>
          <w:color w:val="222222"/>
          <w:sz w:val="20"/>
          <w:szCs w:val="20"/>
        </w:rPr>
        <w:t xml:space="preserve">identified here as the point at which new researchers spend more time proposing than publishing papers; it is not a sustainable benchmark and should be regarded as a temporary acceptable minimum. </w:t>
      </w:r>
    </w:p>
    <w:p w14:paraId="298C578E" w14:textId="5AD5FCAF" w:rsidR="005C5FEC" w:rsidRPr="00186C39" w:rsidRDefault="006470B7" w:rsidP="004A2CD6">
      <w:pPr>
        <w:keepNext/>
        <w:shd w:val="clear" w:color="auto" w:fill="FFFFFF"/>
        <w:spacing w:before="240" w:after="120" w:line="240" w:lineRule="auto"/>
        <w:rPr>
          <w:rFonts w:ascii="Arial" w:eastAsia="Times New Roman" w:hAnsi="Arial" w:cs="Arial"/>
          <w:b/>
          <w:i/>
          <w:sz w:val="20"/>
          <w:szCs w:val="20"/>
        </w:rPr>
      </w:pPr>
      <w:r>
        <w:rPr>
          <w:rFonts w:ascii="Arial" w:eastAsia="Times New Roman" w:hAnsi="Arial" w:cs="Arial"/>
          <w:b/>
          <w:i/>
          <w:color w:val="222222"/>
          <w:sz w:val="20"/>
          <w:szCs w:val="20"/>
        </w:rPr>
        <w:lastRenderedPageBreak/>
        <w:t>3</w:t>
      </w:r>
      <w:r w:rsidR="00186C39" w:rsidRPr="003921E7">
        <w:rPr>
          <w:rFonts w:ascii="Arial" w:eastAsia="Times New Roman" w:hAnsi="Arial" w:cs="Arial"/>
          <w:b/>
          <w:i/>
          <w:color w:val="222222"/>
          <w:sz w:val="20"/>
          <w:szCs w:val="20"/>
        </w:rPr>
        <w:t xml:space="preserve">.2 </w:t>
      </w:r>
      <w:r w:rsidR="005C5FEC" w:rsidRPr="00186C39">
        <w:rPr>
          <w:rFonts w:ascii="Arial" w:eastAsia="Times New Roman" w:hAnsi="Arial" w:cs="Arial"/>
          <w:b/>
          <w:i/>
          <w:sz w:val="20"/>
          <w:szCs w:val="20"/>
        </w:rPr>
        <w:t>The cost of time and scientific productivity</w:t>
      </w:r>
      <w:r w:rsidR="0055118C" w:rsidRPr="00186C39">
        <w:rPr>
          <w:rFonts w:ascii="Arial" w:eastAsia="Times New Roman" w:hAnsi="Arial" w:cs="Arial"/>
          <w:b/>
          <w:i/>
          <w:sz w:val="20"/>
          <w:szCs w:val="20"/>
        </w:rPr>
        <w:t xml:space="preserve"> </w:t>
      </w:r>
    </w:p>
    <w:p w14:paraId="26B5AE3E" w14:textId="3C5F69E3" w:rsidR="005C5FEC" w:rsidRPr="00812B60" w:rsidRDefault="00D20DE9" w:rsidP="00210BE4">
      <w:pPr>
        <w:spacing w:after="0" w:line="240" w:lineRule="auto"/>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Three quarters </w:t>
      </w:r>
      <w:r w:rsidR="00943802">
        <w:rPr>
          <w:rFonts w:ascii="Arial" w:eastAsia="Times New Roman" w:hAnsi="Arial" w:cs="Arial"/>
          <w:sz w:val="20"/>
          <w:szCs w:val="20"/>
          <w:shd w:val="clear" w:color="auto" w:fill="FFFFFF"/>
        </w:rPr>
        <w:t>of the</w:t>
      </w:r>
      <w:r w:rsidR="00943802" w:rsidRPr="005C5FEC">
        <w:rPr>
          <w:rFonts w:ascii="Arial" w:eastAsia="Times New Roman" w:hAnsi="Arial" w:cs="Arial"/>
          <w:sz w:val="20"/>
          <w:szCs w:val="20"/>
          <w:shd w:val="clear" w:color="auto" w:fill="FFFFFF"/>
        </w:rPr>
        <w:t xml:space="preserve"> </w:t>
      </w:r>
      <w:r w:rsidR="00943802">
        <w:rPr>
          <w:rFonts w:ascii="Arial" w:eastAsia="Times New Roman" w:hAnsi="Arial" w:cs="Arial"/>
          <w:sz w:val="20"/>
          <w:szCs w:val="20"/>
          <w:shd w:val="clear" w:color="auto" w:fill="FFFFFF"/>
        </w:rPr>
        <w:t>proposers</w:t>
      </w:r>
      <w:r w:rsidR="00943802" w:rsidRPr="005C5FEC">
        <w:rPr>
          <w:rFonts w:ascii="Arial" w:eastAsia="Times New Roman" w:hAnsi="Arial" w:cs="Arial"/>
          <w:sz w:val="20"/>
          <w:szCs w:val="20"/>
          <w:shd w:val="clear" w:color="auto" w:fill="FFFFFF"/>
        </w:rPr>
        <w:t xml:space="preserve"> </w:t>
      </w:r>
      <w:r w:rsidR="00943802">
        <w:rPr>
          <w:rFonts w:ascii="Arial" w:eastAsia="Times New Roman" w:hAnsi="Arial" w:cs="Arial"/>
          <w:sz w:val="20"/>
          <w:szCs w:val="20"/>
          <w:shd w:val="clear" w:color="auto" w:fill="FFFFFF"/>
        </w:rPr>
        <w:t xml:space="preserve">in the von </w:t>
      </w:r>
      <w:proofErr w:type="spellStart"/>
      <w:r w:rsidR="00943802">
        <w:rPr>
          <w:rFonts w:ascii="Arial" w:eastAsia="Times New Roman" w:hAnsi="Arial" w:cs="Arial"/>
          <w:sz w:val="20"/>
          <w:szCs w:val="20"/>
          <w:shd w:val="clear" w:color="auto" w:fill="FFFFFF"/>
        </w:rPr>
        <w:t>Hippel</w:t>
      </w:r>
      <w:proofErr w:type="spellEnd"/>
      <w:r w:rsidR="00943802">
        <w:rPr>
          <w:rFonts w:ascii="Arial" w:eastAsia="Times New Roman" w:hAnsi="Arial" w:cs="Arial"/>
          <w:sz w:val="20"/>
          <w:szCs w:val="20"/>
          <w:shd w:val="clear" w:color="auto" w:fill="FFFFFF"/>
        </w:rPr>
        <w:t xml:space="preserve"> study </w:t>
      </w:r>
      <w:r w:rsidR="00943802" w:rsidRPr="005C5FEC">
        <w:rPr>
          <w:rFonts w:ascii="Arial" w:eastAsia="Times New Roman" w:hAnsi="Arial" w:cs="Arial"/>
          <w:sz w:val="20"/>
          <w:szCs w:val="20"/>
          <w:shd w:val="clear" w:color="auto" w:fill="FFFFFF"/>
        </w:rPr>
        <w:t>were at large research uni</w:t>
      </w:r>
      <w:r w:rsidR="00943802">
        <w:rPr>
          <w:rFonts w:ascii="Arial" w:eastAsia="Times New Roman" w:hAnsi="Arial" w:cs="Arial"/>
          <w:sz w:val="20"/>
          <w:szCs w:val="20"/>
          <w:shd w:val="clear" w:color="auto" w:fill="FFFFFF"/>
        </w:rPr>
        <w:t xml:space="preserve">versities. </w:t>
      </w:r>
      <w:r>
        <w:rPr>
          <w:rFonts w:ascii="Arial" w:eastAsia="Times New Roman" w:hAnsi="Arial" w:cs="Arial"/>
          <w:sz w:val="20"/>
          <w:szCs w:val="20"/>
          <w:shd w:val="clear" w:color="auto" w:fill="FFFFFF"/>
        </w:rPr>
        <w:t xml:space="preserve">The survey </w:t>
      </w:r>
      <w:r w:rsidR="00C9486E">
        <w:rPr>
          <w:rFonts w:ascii="Arial" w:eastAsia="Times New Roman" w:hAnsi="Arial" w:cs="Arial"/>
          <w:sz w:val="20"/>
          <w:szCs w:val="20"/>
          <w:shd w:val="clear" w:color="auto" w:fill="FFFFFF"/>
        </w:rPr>
        <w:t xml:space="preserve">found that </w:t>
      </w:r>
      <w:r w:rsidR="00CA7BCC">
        <w:rPr>
          <w:rFonts w:ascii="Arial" w:eastAsia="Times New Roman" w:hAnsi="Arial" w:cs="Arial"/>
          <w:sz w:val="20"/>
          <w:szCs w:val="20"/>
          <w:shd w:val="clear" w:color="auto" w:fill="FFFFFF"/>
        </w:rPr>
        <w:t>princip</w:t>
      </w:r>
      <w:r w:rsidR="00FB74B9">
        <w:rPr>
          <w:rFonts w:ascii="Arial" w:eastAsia="Times New Roman" w:hAnsi="Arial" w:cs="Arial"/>
          <w:sz w:val="20"/>
          <w:szCs w:val="20"/>
          <w:shd w:val="clear" w:color="auto" w:fill="FFFFFF"/>
        </w:rPr>
        <w:t>al</w:t>
      </w:r>
      <w:r w:rsidR="00CA7BCC">
        <w:rPr>
          <w:rFonts w:ascii="Arial" w:eastAsia="Times New Roman" w:hAnsi="Arial" w:cs="Arial"/>
          <w:sz w:val="20"/>
          <w:szCs w:val="20"/>
          <w:shd w:val="clear" w:color="auto" w:fill="FFFFFF"/>
        </w:rPr>
        <w:t xml:space="preserve"> investigators </w:t>
      </w:r>
      <w:r w:rsidR="00C9486E">
        <w:rPr>
          <w:rFonts w:ascii="Arial" w:eastAsia="Times New Roman" w:hAnsi="Arial" w:cs="Arial"/>
          <w:sz w:val="20"/>
          <w:szCs w:val="20"/>
          <w:shd w:val="clear" w:color="auto" w:fill="FFFFFF"/>
        </w:rPr>
        <w:t>spend</w:t>
      </w:r>
      <w:r w:rsidR="005C5FEC" w:rsidRPr="005C5FEC">
        <w:rPr>
          <w:rFonts w:ascii="Arial" w:eastAsia="Times New Roman" w:hAnsi="Arial" w:cs="Arial"/>
          <w:sz w:val="20"/>
          <w:szCs w:val="20"/>
          <w:shd w:val="clear" w:color="auto" w:fill="FFFFFF"/>
        </w:rPr>
        <w:t xml:space="preserve"> 116 hours</w:t>
      </w:r>
      <w:r w:rsidR="00CA7BCC">
        <w:rPr>
          <w:rFonts w:ascii="Arial" w:eastAsia="Times New Roman" w:hAnsi="Arial" w:cs="Arial"/>
          <w:sz w:val="20"/>
          <w:szCs w:val="20"/>
          <w:shd w:val="clear" w:color="auto" w:fill="FFFFFF"/>
        </w:rPr>
        <w:t xml:space="preserve"> on average per proposal</w:t>
      </w:r>
      <w:r w:rsidR="00C9486E">
        <w:rPr>
          <w:rFonts w:ascii="Arial" w:eastAsia="Times New Roman" w:hAnsi="Arial" w:cs="Arial"/>
          <w:sz w:val="20"/>
          <w:szCs w:val="20"/>
          <w:shd w:val="clear" w:color="auto" w:fill="FFFFFF"/>
        </w:rPr>
        <w:t>,</w:t>
      </w:r>
      <w:r w:rsidR="005C5FEC" w:rsidRPr="005C5FEC">
        <w:rPr>
          <w:rFonts w:ascii="Arial" w:eastAsia="Times New Roman" w:hAnsi="Arial" w:cs="Arial"/>
          <w:sz w:val="20"/>
          <w:szCs w:val="20"/>
          <w:shd w:val="clear" w:color="auto" w:fill="FFFFFF"/>
        </w:rPr>
        <w:t xml:space="preserve"> and </w:t>
      </w:r>
      <w:r w:rsidR="00CA7BCC">
        <w:rPr>
          <w:rFonts w:ascii="Arial" w:eastAsia="Times New Roman" w:hAnsi="Arial" w:cs="Arial"/>
          <w:sz w:val="20"/>
          <w:szCs w:val="20"/>
          <w:shd w:val="clear" w:color="auto" w:fill="FFFFFF"/>
        </w:rPr>
        <w:t>co-investigators spend</w:t>
      </w:r>
      <w:r w:rsidR="00C9486E">
        <w:rPr>
          <w:rFonts w:ascii="Arial" w:eastAsia="Times New Roman" w:hAnsi="Arial" w:cs="Arial"/>
          <w:sz w:val="20"/>
          <w:szCs w:val="20"/>
          <w:shd w:val="clear" w:color="auto" w:fill="FFFFFF"/>
        </w:rPr>
        <w:t xml:space="preserve"> </w:t>
      </w:r>
      <w:r w:rsidR="005C5FEC" w:rsidRPr="005C5FEC">
        <w:rPr>
          <w:rFonts w:ascii="Arial" w:eastAsia="Times New Roman" w:hAnsi="Arial" w:cs="Arial"/>
          <w:sz w:val="20"/>
          <w:szCs w:val="20"/>
          <w:shd w:val="clear" w:color="auto" w:fill="FFFFFF"/>
        </w:rPr>
        <w:t>55 hour</w:t>
      </w:r>
      <w:r w:rsidR="00210BE4">
        <w:rPr>
          <w:rFonts w:ascii="Arial" w:eastAsia="Times New Roman" w:hAnsi="Arial" w:cs="Arial"/>
          <w:sz w:val="20"/>
          <w:szCs w:val="20"/>
          <w:shd w:val="clear" w:color="auto" w:fill="FFFFFF"/>
        </w:rPr>
        <w:t xml:space="preserve">s. </w:t>
      </w:r>
      <w:r>
        <w:rPr>
          <w:rFonts w:ascii="Arial" w:eastAsia="Times New Roman" w:hAnsi="Arial" w:cs="Arial"/>
          <w:sz w:val="20"/>
          <w:szCs w:val="20"/>
          <w:shd w:val="clear" w:color="auto" w:fill="FFFFFF"/>
        </w:rPr>
        <w:t xml:space="preserve"> This translates into</w:t>
      </w:r>
      <w:r w:rsidR="00C9486E">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more than</w:t>
      </w:r>
      <w:r w:rsidR="00CA7BCC">
        <w:rPr>
          <w:rFonts w:ascii="Arial" w:eastAsia="Times New Roman" w:hAnsi="Arial" w:cs="Arial"/>
          <w:sz w:val="20"/>
          <w:szCs w:val="20"/>
          <w:shd w:val="clear" w:color="auto" w:fill="FFFFFF"/>
        </w:rPr>
        <w:t xml:space="preserve"> </w:t>
      </w:r>
      <w:r w:rsidR="005C5FEC" w:rsidRPr="005C5FEC">
        <w:rPr>
          <w:rFonts w:ascii="Arial" w:eastAsia="Times New Roman" w:hAnsi="Arial" w:cs="Arial"/>
          <w:sz w:val="20"/>
          <w:szCs w:val="20"/>
          <w:shd w:val="clear" w:color="auto" w:fill="FFFFFF"/>
        </w:rPr>
        <w:t xml:space="preserve">8 PI </w:t>
      </w:r>
      <w:r w:rsidR="00FE4ADA">
        <w:rPr>
          <w:rFonts w:ascii="Arial" w:eastAsia="Times New Roman" w:hAnsi="Arial" w:cs="Arial"/>
          <w:sz w:val="20"/>
          <w:szCs w:val="20"/>
          <w:shd w:val="clear" w:color="auto" w:fill="FFFFFF"/>
        </w:rPr>
        <w:t>calendar</w:t>
      </w:r>
      <w:r w:rsidR="00A778BD">
        <w:rPr>
          <w:rFonts w:ascii="Arial" w:eastAsia="Times New Roman" w:hAnsi="Arial" w:cs="Arial"/>
          <w:sz w:val="20"/>
          <w:szCs w:val="20"/>
          <w:shd w:val="clear" w:color="auto" w:fill="FFFFFF"/>
        </w:rPr>
        <w:t>-</w:t>
      </w:r>
      <w:r w:rsidR="005C5FEC" w:rsidRPr="005C5FEC">
        <w:rPr>
          <w:rFonts w:ascii="Arial" w:eastAsia="Times New Roman" w:hAnsi="Arial" w:cs="Arial"/>
          <w:sz w:val="20"/>
          <w:szCs w:val="20"/>
          <w:shd w:val="clear" w:color="auto" w:fill="FFFFFF"/>
        </w:rPr>
        <w:t>weeks and 3.8 C</w:t>
      </w:r>
      <w:r w:rsidR="00C9486E">
        <w:rPr>
          <w:rFonts w:ascii="Arial" w:eastAsia="Times New Roman" w:hAnsi="Arial" w:cs="Arial"/>
          <w:sz w:val="20"/>
          <w:szCs w:val="20"/>
          <w:shd w:val="clear" w:color="auto" w:fill="FFFFFF"/>
        </w:rPr>
        <w:t>o-</w:t>
      </w:r>
      <w:r w:rsidR="005C5FEC" w:rsidRPr="005C5FEC">
        <w:rPr>
          <w:rFonts w:ascii="Arial" w:eastAsia="Times New Roman" w:hAnsi="Arial" w:cs="Arial"/>
          <w:sz w:val="20"/>
          <w:szCs w:val="20"/>
          <w:shd w:val="clear" w:color="auto" w:fill="FFFFFF"/>
        </w:rPr>
        <w:t xml:space="preserve">I </w:t>
      </w:r>
      <w:r w:rsidR="00FE4ADA">
        <w:rPr>
          <w:rFonts w:ascii="Arial" w:eastAsia="Times New Roman" w:hAnsi="Arial" w:cs="Arial"/>
          <w:sz w:val="20"/>
          <w:szCs w:val="20"/>
          <w:shd w:val="clear" w:color="auto" w:fill="FFFFFF"/>
        </w:rPr>
        <w:t>calendar</w:t>
      </w:r>
      <w:r w:rsidR="00A778BD">
        <w:rPr>
          <w:rFonts w:ascii="Arial" w:eastAsia="Times New Roman" w:hAnsi="Arial" w:cs="Arial"/>
          <w:sz w:val="20"/>
          <w:szCs w:val="20"/>
          <w:shd w:val="clear" w:color="auto" w:fill="FFFFFF"/>
        </w:rPr>
        <w:t>-</w:t>
      </w:r>
      <w:r w:rsidR="005C5FEC" w:rsidRPr="005C5FEC">
        <w:rPr>
          <w:rFonts w:ascii="Arial" w:eastAsia="Times New Roman" w:hAnsi="Arial" w:cs="Arial"/>
          <w:sz w:val="20"/>
          <w:szCs w:val="20"/>
          <w:shd w:val="clear" w:color="auto" w:fill="FFFFFF"/>
        </w:rPr>
        <w:t>weeks</w:t>
      </w:r>
      <w:r w:rsidR="00C9486E">
        <w:rPr>
          <w:rFonts w:ascii="Arial" w:eastAsia="Times New Roman" w:hAnsi="Arial" w:cs="Arial"/>
          <w:sz w:val="20"/>
          <w:szCs w:val="20"/>
          <w:shd w:val="clear" w:color="auto" w:fill="FFFFFF"/>
        </w:rPr>
        <w:t xml:space="preserve"> per proposal</w:t>
      </w:r>
      <w:r w:rsidR="00210BE4">
        <w:rPr>
          <w:rFonts w:ascii="Arial" w:eastAsia="Times New Roman" w:hAnsi="Arial" w:cs="Arial"/>
          <w:sz w:val="20"/>
          <w:szCs w:val="20"/>
          <w:shd w:val="clear" w:color="auto" w:fill="FFFFFF"/>
        </w:rPr>
        <w:t xml:space="preserve"> </w:t>
      </w:r>
      <w:r w:rsidR="00210BE4" w:rsidRPr="00210BE4">
        <w:rPr>
          <w:rFonts w:ascii="Arial" w:eastAsia="Times New Roman" w:hAnsi="Arial" w:cs="Arial"/>
          <w:sz w:val="20"/>
          <w:szCs w:val="20"/>
          <w:shd w:val="clear" w:color="auto" w:fill="FFFFFF"/>
        </w:rPr>
        <w:t>for the typical research-active academic, who devotes 10-15 hours</w:t>
      </w:r>
      <w:r w:rsidR="00210BE4">
        <w:rPr>
          <w:rFonts w:ascii="Arial" w:eastAsia="Times New Roman" w:hAnsi="Arial" w:cs="Arial"/>
          <w:sz w:val="20"/>
          <w:szCs w:val="20"/>
          <w:shd w:val="clear" w:color="auto" w:fill="FFFFFF"/>
        </w:rPr>
        <w:t xml:space="preserve"> </w:t>
      </w:r>
      <w:r w:rsidR="00210BE4" w:rsidRPr="00210BE4">
        <w:rPr>
          <w:rFonts w:ascii="Arial" w:eastAsia="Times New Roman" w:hAnsi="Arial" w:cs="Arial"/>
          <w:sz w:val="20"/>
          <w:szCs w:val="20"/>
          <w:shd w:val="clear" w:color="auto" w:fill="FFFFFF"/>
        </w:rPr>
        <w:t>per week to scholarly activity</w:t>
      </w:r>
      <w:r w:rsidR="005C5FEC" w:rsidRPr="005C5FEC">
        <w:rPr>
          <w:rFonts w:ascii="Arial" w:eastAsia="Times New Roman" w:hAnsi="Arial" w:cs="Arial"/>
          <w:sz w:val="20"/>
          <w:szCs w:val="20"/>
          <w:shd w:val="clear" w:color="auto" w:fill="FFFFFF"/>
        </w:rPr>
        <w:t>.</w:t>
      </w:r>
      <w:r w:rsidR="00F1134F">
        <w:rPr>
          <w:rFonts w:ascii="Arial" w:eastAsia="Times New Roman" w:hAnsi="Arial" w:cs="Arial"/>
          <w:sz w:val="20"/>
          <w:szCs w:val="20"/>
          <w:shd w:val="clear" w:color="auto" w:fill="FFFFFF"/>
        </w:rPr>
        <w:t xml:space="preserve"> </w:t>
      </w:r>
      <w:r w:rsidR="00E80906">
        <w:rPr>
          <w:rFonts w:ascii="Arial" w:eastAsia="Times New Roman" w:hAnsi="Arial" w:cs="Arial"/>
          <w:sz w:val="20"/>
          <w:szCs w:val="20"/>
          <w:shd w:val="clear" w:color="auto" w:fill="FFFFFF"/>
        </w:rPr>
        <w:t xml:space="preserve">  Not only is there a time cost, but there is also a paper</w:t>
      </w:r>
      <w:r w:rsidR="00E027A4">
        <w:rPr>
          <w:rFonts w:ascii="Arial" w:eastAsia="Times New Roman" w:hAnsi="Arial" w:cs="Arial"/>
          <w:sz w:val="20"/>
          <w:szCs w:val="20"/>
          <w:shd w:val="clear" w:color="auto" w:fill="FFFFFF"/>
        </w:rPr>
        <w:t>-publication</w:t>
      </w:r>
      <w:r w:rsidR="00E80906">
        <w:rPr>
          <w:rFonts w:ascii="Arial" w:eastAsia="Times New Roman" w:hAnsi="Arial" w:cs="Arial"/>
          <w:sz w:val="20"/>
          <w:szCs w:val="20"/>
          <w:shd w:val="clear" w:color="auto" w:fill="FFFFFF"/>
        </w:rPr>
        <w:t xml:space="preserve"> cost.  The </w:t>
      </w:r>
      <w:r w:rsidR="00F00EE4">
        <w:rPr>
          <w:rFonts w:ascii="Arial" w:eastAsia="Times New Roman" w:hAnsi="Arial" w:cs="Arial"/>
          <w:sz w:val="20"/>
          <w:szCs w:val="20"/>
          <w:shd w:val="clear" w:color="auto" w:fill="FFFFFF"/>
        </w:rPr>
        <w:t xml:space="preserve">von </w:t>
      </w:r>
      <w:proofErr w:type="spellStart"/>
      <w:r w:rsidR="00F00EE4">
        <w:rPr>
          <w:rFonts w:ascii="Arial" w:eastAsia="Times New Roman" w:hAnsi="Arial" w:cs="Arial"/>
          <w:sz w:val="20"/>
          <w:szCs w:val="20"/>
          <w:shd w:val="clear" w:color="auto" w:fill="FFFFFF"/>
        </w:rPr>
        <w:t>Hippel</w:t>
      </w:r>
      <w:proofErr w:type="spellEnd"/>
      <w:r w:rsidR="00F00EE4">
        <w:rPr>
          <w:rFonts w:ascii="Arial" w:eastAsia="Times New Roman" w:hAnsi="Arial" w:cs="Arial"/>
          <w:sz w:val="20"/>
          <w:szCs w:val="20"/>
          <w:shd w:val="clear" w:color="auto" w:fill="FFFFFF"/>
        </w:rPr>
        <w:t xml:space="preserve"> study found that the </w:t>
      </w:r>
      <w:r w:rsidR="00E80906">
        <w:rPr>
          <w:rFonts w:ascii="Arial" w:eastAsia="Times New Roman" w:hAnsi="Arial" w:cs="Arial"/>
          <w:sz w:val="20"/>
          <w:szCs w:val="20"/>
          <w:shd w:val="clear" w:color="auto" w:fill="FFFFFF"/>
        </w:rPr>
        <w:t xml:space="preserve">effort spent in </w:t>
      </w:r>
      <w:r w:rsidR="00C9486E">
        <w:rPr>
          <w:rFonts w:ascii="Arial" w:eastAsia="Times New Roman" w:hAnsi="Arial" w:cs="Arial"/>
          <w:color w:val="222222"/>
          <w:sz w:val="20"/>
          <w:szCs w:val="20"/>
        </w:rPr>
        <w:t>w</w:t>
      </w:r>
      <w:r w:rsidR="005C5FEC" w:rsidRPr="005C5FEC">
        <w:rPr>
          <w:rFonts w:ascii="Arial" w:eastAsia="Times New Roman" w:hAnsi="Arial" w:cs="Arial"/>
          <w:color w:val="222222"/>
          <w:sz w:val="20"/>
          <w:szCs w:val="20"/>
        </w:rPr>
        <w:t xml:space="preserve">riting a typical proposal costs </w:t>
      </w:r>
      <w:r w:rsidR="00C9486E">
        <w:rPr>
          <w:rFonts w:ascii="Arial" w:eastAsia="Times New Roman" w:hAnsi="Arial" w:cs="Arial"/>
          <w:color w:val="222222"/>
          <w:sz w:val="20"/>
          <w:szCs w:val="20"/>
        </w:rPr>
        <w:t>these investigators an</w:t>
      </w:r>
      <w:r w:rsidR="00B11AF7">
        <w:rPr>
          <w:rFonts w:ascii="Arial" w:eastAsia="Times New Roman" w:hAnsi="Arial" w:cs="Arial"/>
          <w:color w:val="222222"/>
          <w:sz w:val="20"/>
          <w:szCs w:val="20"/>
        </w:rPr>
        <w:t xml:space="preserve"> average of </w:t>
      </w:r>
      <w:r w:rsidR="00210BE4" w:rsidRPr="00210BE4">
        <w:rPr>
          <w:rFonts w:ascii="Arial" w:eastAsia="Times New Roman" w:hAnsi="Arial" w:cs="Arial"/>
          <w:color w:val="222222"/>
          <w:sz w:val="20"/>
          <w:szCs w:val="20"/>
        </w:rPr>
        <w:t>0.41 papers per NSF astronomy proposal and</w:t>
      </w:r>
      <w:r w:rsidR="00F00EE4">
        <w:rPr>
          <w:rFonts w:ascii="Arial" w:eastAsia="Times New Roman" w:hAnsi="Arial" w:cs="Arial"/>
          <w:color w:val="222222"/>
          <w:sz w:val="20"/>
          <w:szCs w:val="20"/>
        </w:rPr>
        <w:t xml:space="preserve"> </w:t>
      </w:r>
      <w:r w:rsidR="00210BE4" w:rsidRPr="00210BE4">
        <w:rPr>
          <w:rFonts w:ascii="Arial" w:eastAsia="Times New Roman" w:hAnsi="Arial" w:cs="Arial"/>
          <w:color w:val="222222"/>
          <w:sz w:val="20"/>
          <w:szCs w:val="20"/>
        </w:rPr>
        <w:t>0.48 papers per NASA astronomy proposal</w:t>
      </w:r>
      <w:r w:rsidR="005C5FEC" w:rsidRPr="005C5FEC">
        <w:rPr>
          <w:rFonts w:ascii="Arial" w:eastAsia="Times New Roman" w:hAnsi="Arial" w:cs="Arial"/>
          <w:color w:val="222222"/>
          <w:sz w:val="20"/>
          <w:szCs w:val="20"/>
        </w:rPr>
        <w:t xml:space="preserve">. </w:t>
      </w:r>
      <w:r w:rsidR="00C9486E">
        <w:rPr>
          <w:rFonts w:ascii="Arial" w:eastAsia="Times New Roman" w:hAnsi="Arial" w:cs="Arial"/>
          <w:color w:val="222222"/>
          <w:sz w:val="20"/>
          <w:szCs w:val="20"/>
        </w:rPr>
        <w:t>If the funding rate averages</w:t>
      </w:r>
      <w:r>
        <w:rPr>
          <w:rFonts w:ascii="Arial" w:eastAsia="Times New Roman" w:hAnsi="Arial" w:cs="Arial"/>
          <w:color w:val="222222"/>
          <w:sz w:val="20"/>
          <w:szCs w:val="20"/>
        </w:rPr>
        <w:t xml:space="preserve"> only</w:t>
      </w:r>
      <w:r w:rsidR="00C9486E">
        <w:rPr>
          <w:rFonts w:ascii="Arial" w:eastAsia="Times New Roman" w:hAnsi="Arial" w:cs="Arial"/>
          <w:color w:val="222222"/>
          <w:sz w:val="20"/>
          <w:szCs w:val="20"/>
        </w:rPr>
        <w:t xml:space="preserve"> 20%</w:t>
      </w:r>
      <w:r w:rsidR="005C5FEC" w:rsidRPr="005C5FEC">
        <w:rPr>
          <w:rFonts w:ascii="Arial" w:eastAsia="Times New Roman" w:hAnsi="Arial" w:cs="Arial"/>
          <w:color w:val="222222"/>
          <w:sz w:val="20"/>
          <w:szCs w:val="20"/>
        </w:rPr>
        <w:t>, th</w:t>
      </w:r>
      <w:r>
        <w:rPr>
          <w:rFonts w:ascii="Arial" w:eastAsia="Times New Roman" w:hAnsi="Arial" w:cs="Arial"/>
          <w:color w:val="222222"/>
          <w:sz w:val="20"/>
          <w:szCs w:val="20"/>
        </w:rPr>
        <w:t>e cost per successful proposal</w:t>
      </w:r>
      <w:r w:rsidR="00B11AF7">
        <w:rPr>
          <w:rFonts w:ascii="Arial" w:eastAsia="Times New Roman" w:hAnsi="Arial" w:cs="Arial"/>
          <w:color w:val="222222"/>
          <w:sz w:val="20"/>
          <w:szCs w:val="20"/>
        </w:rPr>
        <w:t xml:space="preserve"> becomes 2.1</w:t>
      </w:r>
      <w:r w:rsidR="00210BE4">
        <w:rPr>
          <w:rFonts w:ascii="Arial" w:eastAsia="Times New Roman" w:hAnsi="Arial" w:cs="Arial"/>
          <w:color w:val="222222"/>
          <w:sz w:val="20"/>
          <w:szCs w:val="20"/>
        </w:rPr>
        <w:t xml:space="preserve"> or 2.4 </w:t>
      </w:r>
      <w:r w:rsidR="00F865D3">
        <w:rPr>
          <w:rFonts w:ascii="Arial" w:eastAsia="Times New Roman" w:hAnsi="Arial" w:cs="Arial"/>
          <w:color w:val="222222"/>
          <w:sz w:val="20"/>
          <w:szCs w:val="20"/>
        </w:rPr>
        <w:t xml:space="preserve">papers, </w:t>
      </w:r>
      <w:r w:rsidR="00210BE4">
        <w:rPr>
          <w:rFonts w:ascii="Arial" w:eastAsia="Times New Roman" w:hAnsi="Arial" w:cs="Arial"/>
          <w:color w:val="222222"/>
          <w:sz w:val="20"/>
          <w:szCs w:val="20"/>
        </w:rPr>
        <w:t xml:space="preserve">respectively. </w:t>
      </w:r>
      <w:r>
        <w:rPr>
          <w:rFonts w:ascii="Arial" w:eastAsia="Times New Roman" w:hAnsi="Arial" w:cs="Arial"/>
          <w:color w:val="222222"/>
          <w:sz w:val="20"/>
          <w:szCs w:val="20"/>
        </w:rPr>
        <w:t>On the other hand, t</w:t>
      </w:r>
      <w:r w:rsidR="005C5FEC" w:rsidRPr="005C5FEC">
        <w:rPr>
          <w:rFonts w:ascii="Arial" w:eastAsia="Times New Roman" w:hAnsi="Arial" w:cs="Arial"/>
          <w:color w:val="222222"/>
          <w:sz w:val="20"/>
          <w:szCs w:val="20"/>
        </w:rPr>
        <w:t xml:space="preserve">he number of papers facilitated by grants in astronomy is approximately 7.9 papers per grant. If </w:t>
      </w:r>
      <w:r>
        <w:rPr>
          <w:rFonts w:ascii="Arial" w:eastAsia="Times New Roman" w:hAnsi="Arial" w:cs="Arial"/>
          <w:color w:val="222222"/>
          <w:sz w:val="20"/>
          <w:szCs w:val="20"/>
        </w:rPr>
        <w:t xml:space="preserve">astronomy </w:t>
      </w:r>
      <w:r w:rsidR="005C5FEC" w:rsidRPr="005C5FEC">
        <w:rPr>
          <w:rFonts w:ascii="Arial" w:eastAsia="Times New Roman" w:hAnsi="Arial" w:cs="Arial"/>
          <w:color w:val="222222"/>
          <w:sz w:val="20"/>
          <w:szCs w:val="20"/>
        </w:rPr>
        <w:t xml:space="preserve">funding rates were to </w:t>
      </w:r>
      <w:r w:rsidR="009610F9">
        <w:rPr>
          <w:rFonts w:ascii="Arial" w:eastAsia="Times New Roman" w:hAnsi="Arial" w:cs="Arial"/>
          <w:color w:val="222222"/>
          <w:sz w:val="20"/>
          <w:szCs w:val="20"/>
        </w:rPr>
        <w:t>drop to</w:t>
      </w:r>
      <w:r w:rsidR="005C5FEC" w:rsidRPr="005C5FEC">
        <w:rPr>
          <w:rFonts w:ascii="Arial" w:eastAsia="Times New Roman" w:hAnsi="Arial" w:cs="Arial"/>
          <w:color w:val="222222"/>
          <w:sz w:val="20"/>
          <w:szCs w:val="20"/>
        </w:rPr>
        <w:t xml:space="preserve"> </w:t>
      </w:r>
      <w:r w:rsidR="00210BE4">
        <w:rPr>
          <w:rFonts w:ascii="Arial" w:eastAsia="Times New Roman" w:hAnsi="Arial" w:cs="Arial"/>
          <w:color w:val="222222"/>
          <w:sz w:val="20"/>
          <w:szCs w:val="20"/>
        </w:rPr>
        <w:t xml:space="preserve">less than </w:t>
      </w:r>
      <w:r w:rsidR="00C9486E">
        <w:rPr>
          <w:rFonts w:ascii="Arial" w:eastAsia="Times New Roman" w:hAnsi="Arial" w:cs="Arial"/>
          <w:color w:val="222222"/>
          <w:sz w:val="20"/>
          <w:szCs w:val="20"/>
        </w:rPr>
        <w:t>~6%</w:t>
      </w:r>
      <w:r w:rsidR="005C5FEC" w:rsidRPr="005C5FEC">
        <w:rPr>
          <w:rFonts w:ascii="Arial" w:eastAsia="Times New Roman" w:hAnsi="Arial" w:cs="Arial"/>
          <w:color w:val="222222"/>
          <w:sz w:val="20"/>
          <w:szCs w:val="20"/>
        </w:rPr>
        <w:t xml:space="preserve">, </w:t>
      </w:r>
      <w:r w:rsidR="00D9496A">
        <w:rPr>
          <w:rFonts w:ascii="Arial" w:eastAsia="Times New Roman" w:hAnsi="Arial" w:cs="Arial"/>
          <w:color w:val="222222"/>
          <w:sz w:val="20"/>
          <w:szCs w:val="20"/>
        </w:rPr>
        <w:t xml:space="preserve">time spent on </w:t>
      </w:r>
      <w:r w:rsidR="005C5FEC" w:rsidRPr="005C5FEC">
        <w:rPr>
          <w:rFonts w:ascii="Arial" w:eastAsia="Times New Roman" w:hAnsi="Arial" w:cs="Arial"/>
          <w:color w:val="222222"/>
          <w:sz w:val="20"/>
          <w:szCs w:val="20"/>
        </w:rPr>
        <w:t>proposal writing would</w:t>
      </w:r>
      <w:r w:rsidR="00210BE4">
        <w:rPr>
          <w:rFonts w:ascii="Arial" w:eastAsia="Times New Roman" w:hAnsi="Arial" w:cs="Arial"/>
          <w:color w:val="222222"/>
          <w:sz w:val="20"/>
          <w:szCs w:val="20"/>
        </w:rPr>
        <w:t xml:space="preserve"> exceed t</w:t>
      </w:r>
      <w:r w:rsidR="00D9496A">
        <w:rPr>
          <w:rFonts w:ascii="Arial" w:eastAsia="Times New Roman" w:hAnsi="Arial" w:cs="Arial"/>
          <w:color w:val="222222"/>
          <w:sz w:val="20"/>
          <w:szCs w:val="20"/>
        </w:rPr>
        <w:t xml:space="preserve">hat spent on </w:t>
      </w:r>
      <w:r w:rsidR="007A5536">
        <w:rPr>
          <w:rFonts w:ascii="Arial" w:eastAsia="Times New Roman" w:hAnsi="Arial" w:cs="Arial"/>
          <w:color w:val="222222"/>
          <w:sz w:val="20"/>
          <w:szCs w:val="20"/>
        </w:rPr>
        <w:t xml:space="preserve">any potential </w:t>
      </w:r>
      <w:r w:rsidR="005C5FEC" w:rsidRPr="005C5FEC">
        <w:rPr>
          <w:rFonts w:ascii="Arial" w:eastAsia="Times New Roman" w:hAnsi="Arial" w:cs="Arial"/>
          <w:color w:val="222222"/>
          <w:sz w:val="20"/>
          <w:szCs w:val="20"/>
        </w:rPr>
        <w:t>research paper</w:t>
      </w:r>
      <w:r w:rsidR="007A5536">
        <w:rPr>
          <w:rFonts w:ascii="Arial" w:eastAsia="Times New Roman" w:hAnsi="Arial" w:cs="Arial"/>
          <w:color w:val="222222"/>
          <w:sz w:val="20"/>
          <w:szCs w:val="20"/>
        </w:rPr>
        <w:t xml:space="preserve">s.  </w:t>
      </w:r>
    </w:p>
    <w:p w14:paraId="22EA5951" w14:textId="77777777" w:rsidR="006D6A9C" w:rsidRDefault="006D6A9C" w:rsidP="00F1134F">
      <w:pPr>
        <w:spacing w:after="0" w:line="240" w:lineRule="auto"/>
        <w:rPr>
          <w:rFonts w:ascii="Arial" w:eastAsia="Times New Roman" w:hAnsi="Arial" w:cs="Arial"/>
          <w:color w:val="222222"/>
          <w:sz w:val="20"/>
          <w:szCs w:val="20"/>
        </w:rPr>
      </w:pPr>
    </w:p>
    <w:p w14:paraId="1EF6966A" w14:textId="77777777" w:rsidR="00391347" w:rsidRPr="00EC4755" w:rsidRDefault="00391347" w:rsidP="00F1134F">
      <w:pPr>
        <w:spacing w:after="0" w:line="240" w:lineRule="auto"/>
        <w:rPr>
          <w:rFonts w:ascii="Arial" w:eastAsia="Times New Roman" w:hAnsi="Arial" w:cs="Arial"/>
          <w:color w:val="222222"/>
          <w:sz w:val="20"/>
          <w:szCs w:val="20"/>
        </w:rPr>
      </w:pPr>
    </w:p>
    <w:p w14:paraId="0A2CD3D9" w14:textId="76031A4A" w:rsidR="007A5536" w:rsidRDefault="006470B7" w:rsidP="00F1134F">
      <w:pPr>
        <w:spacing w:after="0" w:line="240" w:lineRule="auto"/>
        <w:rPr>
          <w:rFonts w:ascii="Arial" w:eastAsia="Times New Roman" w:hAnsi="Arial" w:cs="Arial"/>
          <w:color w:val="222222"/>
          <w:sz w:val="20"/>
          <w:szCs w:val="20"/>
        </w:rPr>
      </w:pPr>
      <w:r>
        <w:rPr>
          <w:rFonts w:ascii="Arial" w:eastAsia="Times New Roman" w:hAnsi="Arial" w:cs="Arial"/>
          <w:b/>
          <w:i/>
          <w:color w:val="222222"/>
          <w:sz w:val="20"/>
          <w:szCs w:val="20"/>
        </w:rPr>
        <w:t>3</w:t>
      </w:r>
      <w:r w:rsidR="0082117B" w:rsidRPr="00812B60">
        <w:rPr>
          <w:rFonts w:ascii="Arial" w:eastAsia="Times New Roman" w:hAnsi="Arial" w:cs="Arial"/>
          <w:b/>
          <w:i/>
          <w:color w:val="222222"/>
          <w:sz w:val="20"/>
          <w:szCs w:val="20"/>
        </w:rPr>
        <w:t xml:space="preserve">.3 </w:t>
      </w:r>
      <w:r w:rsidR="00EC4755">
        <w:rPr>
          <w:rFonts w:ascii="Arial" w:eastAsia="Times New Roman" w:hAnsi="Arial" w:cs="Arial"/>
          <w:b/>
          <w:i/>
          <w:color w:val="222222"/>
          <w:sz w:val="20"/>
          <w:szCs w:val="20"/>
        </w:rPr>
        <w:t xml:space="preserve">The cost </w:t>
      </w:r>
      <w:r w:rsidR="00821247">
        <w:rPr>
          <w:rFonts w:ascii="Arial" w:eastAsia="Times New Roman" w:hAnsi="Arial" w:cs="Arial"/>
          <w:b/>
          <w:i/>
          <w:color w:val="222222"/>
          <w:sz w:val="20"/>
          <w:szCs w:val="20"/>
        </w:rPr>
        <w:t>to</w:t>
      </w:r>
      <w:r w:rsidR="00EC4755">
        <w:rPr>
          <w:rFonts w:ascii="Arial" w:eastAsia="Times New Roman" w:hAnsi="Arial" w:cs="Arial"/>
          <w:b/>
          <w:i/>
          <w:color w:val="222222"/>
          <w:sz w:val="20"/>
          <w:szCs w:val="20"/>
        </w:rPr>
        <w:t xml:space="preserve"> the Review Process</w:t>
      </w:r>
    </w:p>
    <w:p w14:paraId="74C7D710" w14:textId="77777777" w:rsidR="007A5536" w:rsidRDefault="007A5536" w:rsidP="00F1134F">
      <w:pPr>
        <w:spacing w:after="0" w:line="240" w:lineRule="auto"/>
        <w:rPr>
          <w:rFonts w:ascii="Arial" w:eastAsia="Times New Roman" w:hAnsi="Arial" w:cs="Arial"/>
          <w:b/>
          <w:i/>
          <w:color w:val="222222"/>
          <w:sz w:val="20"/>
          <w:szCs w:val="20"/>
        </w:rPr>
      </w:pPr>
    </w:p>
    <w:p w14:paraId="79155E6C" w14:textId="5DAEE455" w:rsidR="00EC4755" w:rsidRPr="00812B60" w:rsidRDefault="00100DA8" w:rsidP="00EC4755">
      <w:pPr>
        <w:spacing w:after="0" w:line="240" w:lineRule="auto"/>
        <w:rPr>
          <w:rFonts w:ascii="Arial" w:eastAsia="Times New Roman" w:hAnsi="Arial" w:cs="Arial"/>
          <w:color w:val="222222"/>
          <w:sz w:val="20"/>
          <w:szCs w:val="20"/>
        </w:rPr>
      </w:pPr>
      <w:r w:rsidRPr="00100DA8">
        <w:rPr>
          <w:rFonts w:ascii="Arial" w:eastAsia="Times New Roman" w:hAnsi="Arial" w:cs="Arial"/>
          <w:color w:val="222222"/>
          <w:sz w:val="20"/>
          <w:szCs w:val="20"/>
        </w:rPr>
        <w:t>The increased proposal load poses significant review management challenges to the funding agencies. Although agency staffing has remained relatively flat in recen</w:t>
      </w:r>
      <w:r>
        <w:rPr>
          <w:rFonts w:ascii="Arial" w:eastAsia="Times New Roman" w:hAnsi="Arial" w:cs="Arial"/>
          <w:color w:val="222222"/>
          <w:sz w:val="20"/>
          <w:szCs w:val="20"/>
        </w:rPr>
        <w:t xml:space="preserve">t years, the number of panels, </w:t>
      </w:r>
      <w:r w:rsidRPr="00100DA8">
        <w:rPr>
          <w:rFonts w:ascii="Arial" w:eastAsia="Times New Roman" w:hAnsi="Arial" w:cs="Arial"/>
          <w:color w:val="222222"/>
          <w:sz w:val="20"/>
          <w:szCs w:val="20"/>
        </w:rPr>
        <w:t>each wit</w:t>
      </w:r>
      <w:r>
        <w:rPr>
          <w:rFonts w:ascii="Arial" w:eastAsia="Times New Roman" w:hAnsi="Arial" w:cs="Arial"/>
          <w:color w:val="222222"/>
          <w:sz w:val="20"/>
          <w:szCs w:val="20"/>
        </w:rPr>
        <w:t>h a higher number of proposals,</w:t>
      </w:r>
      <w:r w:rsidRPr="00100DA8">
        <w:rPr>
          <w:rFonts w:ascii="Arial" w:eastAsia="Times New Roman" w:hAnsi="Arial" w:cs="Arial"/>
          <w:color w:val="222222"/>
          <w:sz w:val="20"/>
          <w:szCs w:val="20"/>
        </w:rPr>
        <w:t xml:space="preserve"> has increased. </w:t>
      </w:r>
      <w:r>
        <w:rPr>
          <w:rFonts w:ascii="Arial" w:eastAsia="Times New Roman" w:hAnsi="Arial" w:cs="Arial"/>
          <w:color w:val="222222"/>
          <w:sz w:val="20"/>
          <w:szCs w:val="20"/>
        </w:rPr>
        <w:t xml:space="preserve"> </w:t>
      </w:r>
      <w:r w:rsidR="0082117B" w:rsidRPr="00812B60">
        <w:rPr>
          <w:rFonts w:ascii="Arial" w:eastAsia="Times New Roman" w:hAnsi="Arial" w:cs="Arial"/>
          <w:color w:val="222222"/>
          <w:sz w:val="20"/>
          <w:szCs w:val="20"/>
        </w:rPr>
        <w:t>The organization and execution of just one panel takes 130+ hours of each NSF Program Officer's time. NSF has developed a number of tools to optimize the internal review processes, but another 30% increase in proposal volume over the next fiv</w:t>
      </w:r>
      <w:r>
        <w:rPr>
          <w:rFonts w:ascii="Arial" w:eastAsia="Times New Roman" w:hAnsi="Arial" w:cs="Arial"/>
          <w:color w:val="222222"/>
          <w:sz w:val="20"/>
          <w:szCs w:val="20"/>
        </w:rPr>
        <w:t>e years would not be manageable</w:t>
      </w:r>
      <w:r w:rsidR="0082117B" w:rsidRPr="00812B60">
        <w:rPr>
          <w:rFonts w:ascii="Arial" w:eastAsia="Times New Roman" w:hAnsi="Arial" w:cs="Arial"/>
          <w:color w:val="222222"/>
          <w:sz w:val="20"/>
          <w:szCs w:val="20"/>
        </w:rPr>
        <w:t xml:space="preserve">.  In 2014, NASA/APD handled 832 proposals in its core R&amp;A programs.  The estimated </w:t>
      </w:r>
      <w:r w:rsidR="00AD5CDC">
        <w:rPr>
          <w:rFonts w:ascii="Arial" w:eastAsia="Times New Roman" w:hAnsi="Arial" w:cs="Arial"/>
          <w:color w:val="222222"/>
          <w:sz w:val="20"/>
          <w:szCs w:val="20"/>
        </w:rPr>
        <w:t xml:space="preserve">yearly </w:t>
      </w:r>
      <w:r w:rsidR="0082117B" w:rsidRPr="00812B60">
        <w:rPr>
          <w:rFonts w:ascii="Arial" w:eastAsia="Times New Roman" w:hAnsi="Arial" w:cs="Arial"/>
          <w:color w:val="222222"/>
          <w:sz w:val="20"/>
          <w:szCs w:val="20"/>
        </w:rPr>
        <w:t xml:space="preserve">cost in NASA staff time and direct expenses for reviewer travel, meeting space, etc. to plan, execute, and document the evaluation and selection process is ~$3M.   </w:t>
      </w:r>
    </w:p>
    <w:p w14:paraId="43D44494" w14:textId="77777777" w:rsidR="00EC4755" w:rsidRPr="00812B60" w:rsidRDefault="00EC4755" w:rsidP="00EC4755">
      <w:pPr>
        <w:spacing w:after="0" w:line="240" w:lineRule="auto"/>
        <w:rPr>
          <w:rFonts w:ascii="Arial" w:eastAsia="Times New Roman" w:hAnsi="Arial" w:cs="Arial"/>
          <w:color w:val="222222"/>
          <w:sz w:val="20"/>
          <w:szCs w:val="20"/>
        </w:rPr>
      </w:pPr>
    </w:p>
    <w:p w14:paraId="5D520027" w14:textId="73EFDE0E" w:rsidR="00EC4755" w:rsidRDefault="0082117B" w:rsidP="00F1134F">
      <w:pPr>
        <w:spacing w:after="0" w:line="240" w:lineRule="auto"/>
        <w:rPr>
          <w:rFonts w:ascii="Arial" w:eastAsia="Times New Roman" w:hAnsi="Arial" w:cs="Arial"/>
          <w:color w:val="222222"/>
          <w:sz w:val="20"/>
          <w:szCs w:val="20"/>
        </w:rPr>
      </w:pPr>
      <w:r w:rsidRPr="00812B60">
        <w:rPr>
          <w:rFonts w:ascii="Arial" w:eastAsia="Times New Roman" w:hAnsi="Arial" w:cs="Arial"/>
          <w:color w:val="222222"/>
          <w:sz w:val="20"/>
          <w:szCs w:val="20"/>
        </w:rPr>
        <w:t xml:space="preserve">Another issue is recruitment of reviewers.  This is a </w:t>
      </w:r>
      <w:r w:rsidR="00100DA8">
        <w:rPr>
          <w:rFonts w:ascii="Arial" w:eastAsia="Times New Roman" w:hAnsi="Arial" w:cs="Arial"/>
          <w:color w:val="222222"/>
          <w:sz w:val="20"/>
          <w:szCs w:val="20"/>
        </w:rPr>
        <w:t xml:space="preserve">larger </w:t>
      </w:r>
      <w:r w:rsidRPr="00812B60">
        <w:rPr>
          <w:rFonts w:ascii="Arial" w:eastAsia="Times New Roman" w:hAnsi="Arial" w:cs="Arial"/>
          <w:color w:val="222222"/>
          <w:sz w:val="20"/>
          <w:szCs w:val="20"/>
        </w:rPr>
        <w:t xml:space="preserve">problem for NSF/AST who do not allow an individual listed as PI or co-PI on an NSF/AST AAG proposal to serve as a reviewer. The result is that over 1,100 qualified individuals are prohibited from joining a panel. It is thus more difficult to recruit un-conflicted members of the community to join the panels.  Reviewer acceptance rates have been falling; currently only 20-25% of reviewers agree to serve when asked. For NASA, </w:t>
      </w:r>
      <w:proofErr w:type="gramStart"/>
      <w:r w:rsidRPr="00812B60">
        <w:rPr>
          <w:rFonts w:ascii="Arial" w:eastAsia="Times New Roman" w:hAnsi="Arial" w:cs="Arial"/>
          <w:color w:val="222222"/>
          <w:sz w:val="20"/>
          <w:szCs w:val="20"/>
        </w:rPr>
        <w:t>conflict of interest issues can often be mitigated by putting the reviewer on a different panel</w:t>
      </w:r>
      <w:proofErr w:type="gramEnd"/>
      <w:r w:rsidRPr="00812B60">
        <w:rPr>
          <w:rFonts w:ascii="Arial" w:eastAsia="Times New Roman" w:hAnsi="Arial" w:cs="Arial"/>
          <w:color w:val="222222"/>
          <w:sz w:val="20"/>
          <w:szCs w:val="20"/>
        </w:rPr>
        <w:t>.  The growing number of proposals has not yet caused an increase in COI issues for NASA.</w:t>
      </w:r>
    </w:p>
    <w:p w14:paraId="78D2EA04" w14:textId="77777777" w:rsidR="001A342F" w:rsidRPr="00603E75" w:rsidRDefault="001A342F" w:rsidP="00F1134F">
      <w:pPr>
        <w:spacing w:after="0" w:line="240" w:lineRule="auto"/>
        <w:rPr>
          <w:rFonts w:ascii="Arial" w:eastAsia="Times New Roman" w:hAnsi="Arial" w:cs="Arial"/>
          <w:color w:val="222222"/>
          <w:sz w:val="20"/>
          <w:szCs w:val="20"/>
        </w:rPr>
      </w:pPr>
    </w:p>
    <w:p w14:paraId="31927999" w14:textId="69F787C9" w:rsidR="007A5536" w:rsidRDefault="006470B7" w:rsidP="00812B60">
      <w:pPr>
        <w:spacing w:after="0" w:line="240" w:lineRule="auto"/>
        <w:rPr>
          <w:rFonts w:ascii="Arial" w:eastAsia="Times New Roman" w:hAnsi="Arial" w:cs="Arial"/>
          <w:color w:val="222222"/>
          <w:sz w:val="20"/>
          <w:szCs w:val="20"/>
        </w:rPr>
      </w:pPr>
      <w:r>
        <w:rPr>
          <w:rFonts w:ascii="Arial" w:eastAsia="Times New Roman" w:hAnsi="Arial" w:cs="Arial"/>
          <w:b/>
          <w:color w:val="222222"/>
        </w:rPr>
        <w:t>4</w:t>
      </w:r>
      <w:r w:rsidR="00F1134F" w:rsidRPr="00F1134F">
        <w:rPr>
          <w:rFonts w:ascii="Arial" w:eastAsia="Times New Roman" w:hAnsi="Arial" w:cs="Arial"/>
          <w:b/>
          <w:color w:val="222222"/>
        </w:rPr>
        <w:t xml:space="preserve">. </w:t>
      </w:r>
      <w:r w:rsidR="00F1134F" w:rsidRPr="00B948ED">
        <w:rPr>
          <w:rFonts w:ascii="Arial" w:eastAsia="Times New Roman" w:hAnsi="Arial" w:cs="Arial"/>
          <w:b/>
          <w:color w:val="222222"/>
          <w:u w:val="single"/>
        </w:rPr>
        <w:t>Concluding Remarks</w:t>
      </w:r>
      <w:r w:rsidR="00F1134F" w:rsidRPr="00F1134F">
        <w:rPr>
          <w:rFonts w:ascii="Arial" w:eastAsia="Times New Roman" w:hAnsi="Arial" w:cs="Arial"/>
          <w:b/>
          <w:color w:val="222222"/>
        </w:rPr>
        <w:t xml:space="preserve"> </w:t>
      </w:r>
    </w:p>
    <w:p w14:paraId="5B4FB4ED" w14:textId="77777777" w:rsidR="007A5536" w:rsidRDefault="007A5536" w:rsidP="00812B60">
      <w:pPr>
        <w:spacing w:after="0" w:line="240" w:lineRule="auto"/>
        <w:rPr>
          <w:rFonts w:ascii="Arial" w:eastAsia="Times New Roman" w:hAnsi="Arial" w:cs="Arial"/>
          <w:b/>
          <w:color w:val="222222"/>
        </w:rPr>
      </w:pPr>
    </w:p>
    <w:p w14:paraId="052E2E7C" w14:textId="4B8DE0E6" w:rsidR="00E06029" w:rsidRDefault="00D759FB" w:rsidP="00E57FA2">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w:t>
      </w:r>
      <w:r w:rsidR="008E0B5A">
        <w:rPr>
          <w:rFonts w:ascii="Arial" w:eastAsia="Times New Roman" w:hAnsi="Arial" w:cs="Arial"/>
          <w:color w:val="222222"/>
          <w:sz w:val="20"/>
          <w:szCs w:val="20"/>
        </w:rPr>
        <w:t>n average funding rate of ~6% in astronomy would represent an</w:t>
      </w:r>
      <w:r w:rsidR="008D6E9F">
        <w:rPr>
          <w:rFonts w:ascii="Arial" w:eastAsia="Times New Roman" w:hAnsi="Arial" w:cs="Arial"/>
          <w:color w:val="222222"/>
          <w:sz w:val="20"/>
          <w:szCs w:val="20"/>
        </w:rPr>
        <w:t xml:space="preserve"> unsustainably</w:t>
      </w:r>
      <w:r w:rsidR="008E0B5A">
        <w:rPr>
          <w:rFonts w:ascii="Arial" w:eastAsia="Times New Roman" w:hAnsi="Arial" w:cs="Arial"/>
          <w:color w:val="222222"/>
          <w:sz w:val="20"/>
          <w:szCs w:val="20"/>
        </w:rPr>
        <w:t xml:space="preserve"> low rate for the he</w:t>
      </w:r>
      <w:r w:rsidR="00A95AB6">
        <w:rPr>
          <w:rFonts w:ascii="Arial" w:eastAsia="Times New Roman" w:hAnsi="Arial" w:cs="Arial"/>
          <w:color w:val="222222"/>
          <w:sz w:val="20"/>
          <w:szCs w:val="20"/>
        </w:rPr>
        <w:t>alth of the field,</w:t>
      </w:r>
      <w:r>
        <w:rPr>
          <w:rFonts w:ascii="Arial" w:eastAsia="Times New Roman" w:hAnsi="Arial" w:cs="Arial"/>
          <w:color w:val="222222"/>
          <w:sz w:val="20"/>
          <w:szCs w:val="20"/>
        </w:rPr>
        <w:t xml:space="preserve"> </w:t>
      </w:r>
      <w:r w:rsidR="00A95AB6">
        <w:rPr>
          <w:rFonts w:ascii="Arial" w:eastAsia="Times New Roman" w:hAnsi="Arial" w:cs="Arial"/>
          <w:color w:val="222222"/>
          <w:sz w:val="20"/>
          <w:szCs w:val="20"/>
        </w:rPr>
        <w:t xml:space="preserve">and would fall far short of US aspirations for leadership, with a vibrant program that attracts the brightest young researchers. </w:t>
      </w:r>
      <w:r>
        <w:rPr>
          <w:rFonts w:ascii="Arial" w:eastAsia="Times New Roman" w:hAnsi="Arial" w:cs="Arial"/>
          <w:color w:val="222222"/>
          <w:sz w:val="20"/>
          <w:szCs w:val="20"/>
        </w:rPr>
        <w:t xml:space="preserve">Yet, </w:t>
      </w:r>
      <w:r w:rsidR="00733BC4">
        <w:rPr>
          <w:rFonts w:ascii="Arial" w:eastAsia="Times New Roman" w:hAnsi="Arial" w:cs="Arial"/>
          <w:color w:val="222222"/>
          <w:sz w:val="20"/>
          <w:szCs w:val="20"/>
        </w:rPr>
        <w:t xml:space="preserve">as discussed above, </w:t>
      </w:r>
      <w:r>
        <w:rPr>
          <w:rFonts w:ascii="Arial" w:eastAsia="Times New Roman" w:hAnsi="Arial" w:cs="Arial"/>
          <w:color w:val="222222"/>
          <w:sz w:val="20"/>
          <w:szCs w:val="20"/>
        </w:rPr>
        <w:t xml:space="preserve">this is close to </w:t>
      </w:r>
      <w:r w:rsidR="008E0B5A">
        <w:rPr>
          <w:rFonts w:ascii="Arial" w:eastAsia="Times New Roman" w:hAnsi="Arial" w:cs="Arial"/>
          <w:color w:val="222222"/>
          <w:sz w:val="20"/>
          <w:szCs w:val="20"/>
        </w:rPr>
        <w:t xml:space="preserve">the effective funding </w:t>
      </w:r>
      <w:r>
        <w:rPr>
          <w:rFonts w:ascii="Arial" w:eastAsia="Times New Roman" w:hAnsi="Arial" w:cs="Arial"/>
          <w:color w:val="222222"/>
          <w:sz w:val="20"/>
          <w:szCs w:val="20"/>
        </w:rPr>
        <w:t xml:space="preserve">rate </w:t>
      </w:r>
      <w:r w:rsidR="008E0B5A">
        <w:rPr>
          <w:rFonts w:ascii="Arial" w:eastAsia="Times New Roman" w:hAnsi="Arial" w:cs="Arial"/>
          <w:color w:val="222222"/>
          <w:sz w:val="20"/>
          <w:szCs w:val="20"/>
        </w:rPr>
        <w:t xml:space="preserve">for new investigators </w:t>
      </w:r>
      <w:r w:rsidR="00733BC4">
        <w:rPr>
          <w:rFonts w:ascii="Arial" w:eastAsia="Times New Roman" w:hAnsi="Arial" w:cs="Arial"/>
          <w:color w:val="222222"/>
          <w:sz w:val="20"/>
          <w:szCs w:val="20"/>
        </w:rPr>
        <w:t>or investigators who have recently transitioned into unfunded status</w:t>
      </w:r>
      <w:r w:rsidR="00235E27">
        <w:rPr>
          <w:rFonts w:ascii="Arial" w:eastAsia="Times New Roman" w:hAnsi="Arial" w:cs="Arial"/>
          <w:color w:val="222222"/>
          <w:sz w:val="20"/>
          <w:szCs w:val="20"/>
        </w:rPr>
        <w:t>,</w:t>
      </w:r>
      <w:r w:rsidR="00733BC4">
        <w:rPr>
          <w:rFonts w:ascii="Arial" w:eastAsia="Times New Roman" w:hAnsi="Arial" w:cs="Arial"/>
          <w:color w:val="222222"/>
          <w:sz w:val="20"/>
          <w:szCs w:val="20"/>
        </w:rPr>
        <w:t xml:space="preserve"> </w:t>
      </w:r>
      <w:r w:rsidR="008E0B5A">
        <w:rPr>
          <w:rFonts w:ascii="Arial" w:eastAsia="Times New Roman" w:hAnsi="Arial" w:cs="Arial"/>
          <w:color w:val="222222"/>
          <w:sz w:val="20"/>
          <w:szCs w:val="20"/>
        </w:rPr>
        <w:t xml:space="preserve">even for an average </w:t>
      </w:r>
      <w:r w:rsidR="00A468F0">
        <w:rPr>
          <w:rFonts w:ascii="Arial" w:eastAsia="Times New Roman" w:hAnsi="Arial" w:cs="Arial"/>
          <w:color w:val="222222"/>
          <w:sz w:val="20"/>
          <w:szCs w:val="20"/>
        </w:rPr>
        <w:t>success</w:t>
      </w:r>
      <w:r w:rsidR="008E0B5A">
        <w:rPr>
          <w:rFonts w:ascii="Arial" w:eastAsia="Times New Roman" w:hAnsi="Arial" w:cs="Arial"/>
          <w:color w:val="222222"/>
          <w:sz w:val="20"/>
          <w:szCs w:val="20"/>
        </w:rPr>
        <w:t xml:space="preserve"> rate of</w:t>
      </w:r>
      <w:r w:rsidR="005C5FEC" w:rsidRPr="005C5FEC">
        <w:rPr>
          <w:rFonts w:ascii="Arial" w:eastAsia="Times New Roman" w:hAnsi="Arial" w:cs="Arial"/>
          <w:color w:val="222222"/>
          <w:sz w:val="20"/>
          <w:szCs w:val="20"/>
        </w:rPr>
        <w:t xml:space="preserve"> 20%</w:t>
      </w:r>
      <w:r w:rsidR="00A6622B">
        <w:rPr>
          <w:rFonts w:ascii="Arial" w:eastAsia="Times New Roman" w:hAnsi="Arial" w:cs="Arial"/>
          <w:color w:val="222222"/>
          <w:sz w:val="20"/>
          <w:szCs w:val="20"/>
        </w:rPr>
        <w:t>, and the current average is already below this</w:t>
      </w:r>
      <w:r w:rsidR="00733BC4">
        <w:rPr>
          <w:rFonts w:ascii="Arial" w:eastAsia="Times New Roman" w:hAnsi="Arial" w:cs="Arial"/>
          <w:color w:val="222222"/>
          <w:sz w:val="20"/>
          <w:szCs w:val="20"/>
        </w:rPr>
        <w:t xml:space="preserve"> in NSF/AST</w:t>
      </w:r>
      <w:r w:rsidR="00235E27">
        <w:rPr>
          <w:rFonts w:ascii="Arial" w:eastAsia="Times New Roman" w:hAnsi="Arial" w:cs="Arial"/>
          <w:color w:val="222222"/>
          <w:sz w:val="20"/>
          <w:szCs w:val="20"/>
        </w:rPr>
        <w:t xml:space="preserve"> and in NASA </w:t>
      </w:r>
      <w:proofErr w:type="spellStart"/>
      <w:r w:rsidR="00235E27">
        <w:rPr>
          <w:rFonts w:ascii="Arial" w:eastAsia="Times New Roman" w:hAnsi="Arial" w:cs="Arial"/>
          <w:color w:val="222222"/>
          <w:sz w:val="20"/>
          <w:szCs w:val="20"/>
        </w:rPr>
        <w:t>Heliophysics</w:t>
      </w:r>
      <w:proofErr w:type="spellEnd"/>
      <w:r w:rsidR="008E0B5A">
        <w:rPr>
          <w:rFonts w:ascii="Arial" w:eastAsia="Times New Roman" w:hAnsi="Arial" w:cs="Arial"/>
          <w:color w:val="222222"/>
          <w:sz w:val="20"/>
          <w:szCs w:val="20"/>
        </w:rPr>
        <w:t>.</w:t>
      </w:r>
      <w:r w:rsidR="005C5FEC" w:rsidRPr="005C5FEC">
        <w:rPr>
          <w:rFonts w:ascii="Arial" w:eastAsia="Times New Roman" w:hAnsi="Arial" w:cs="Arial"/>
          <w:color w:val="222222"/>
          <w:sz w:val="20"/>
          <w:szCs w:val="20"/>
        </w:rPr>
        <w:t xml:space="preserve"> </w:t>
      </w:r>
      <w:r w:rsidR="008E0B5A">
        <w:rPr>
          <w:rFonts w:ascii="Arial" w:eastAsia="Times New Roman" w:hAnsi="Arial" w:cs="Arial"/>
          <w:color w:val="222222"/>
          <w:sz w:val="20"/>
          <w:szCs w:val="20"/>
        </w:rPr>
        <w:t xml:space="preserve">Such a </w:t>
      </w:r>
      <w:r w:rsidR="00DC6C5D">
        <w:rPr>
          <w:rFonts w:ascii="Arial" w:eastAsia="Times New Roman" w:hAnsi="Arial" w:cs="Arial"/>
          <w:color w:val="222222"/>
          <w:sz w:val="20"/>
          <w:szCs w:val="20"/>
        </w:rPr>
        <w:t xml:space="preserve">low </w:t>
      </w:r>
      <w:r w:rsidR="00A468F0">
        <w:rPr>
          <w:rFonts w:ascii="Arial" w:eastAsia="Times New Roman" w:hAnsi="Arial" w:cs="Arial"/>
          <w:color w:val="222222"/>
          <w:sz w:val="20"/>
          <w:szCs w:val="20"/>
        </w:rPr>
        <w:t xml:space="preserve">success </w:t>
      </w:r>
      <w:r w:rsidR="008E0B5A">
        <w:rPr>
          <w:rFonts w:ascii="Arial" w:eastAsia="Times New Roman" w:hAnsi="Arial" w:cs="Arial"/>
          <w:color w:val="222222"/>
          <w:sz w:val="20"/>
          <w:szCs w:val="20"/>
        </w:rPr>
        <w:t xml:space="preserve">rate </w:t>
      </w:r>
      <w:r w:rsidR="005C5FEC" w:rsidRPr="005C5FEC">
        <w:rPr>
          <w:rFonts w:ascii="Arial" w:eastAsia="Times New Roman" w:hAnsi="Arial" w:cs="Arial"/>
          <w:color w:val="222222"/>
          <w:sz w:val="20"/>
          <w:szCs w:val="20"/>
        </w:rPr>
        <w:t>cost</w:t>
      </w:r>
      <w:r w:rsidR="008E0B5A">
        <w:rPr>
          <w:rFonts w:ascii="Arial" w:eastAsia="Times New Roman" w:hAnsi="Arial" w:cs="Arial"/>
          <w:color w:val="222222"/>
          <w:sz w:val="20"/>
          <w:szCs w:val="20"/>
        </w:rPr>
        <w:t xml:space="preserve">s our field an immense amount of </w:t>
      </w:r>
      <w:r w:rsidR="005C5FEC" w:rsidRPr="005C5FEC">
        <w:rPr>
          <w:rFonts w:ascii="Arial" w:eastAsia="Times New Roman" w:hAnsi="Arial" w:cs="Arial"/>
          <w:color w:val="222222"/>
          <w:sz w:val="20"/>
          <w:szCs w:val="20"/>
        </w:rPr>
        <w:t>scientifically productive time and pu</w:t>
      </w:r>
      <w:r w:rsidR="008E0B5A">
        <w:rPr>
          <w:rFonts w:ascii="Arial" w:eastAsia="Times New Roman" w:hAnsi="Arial" w:cs="Arial"/>
          <w:color w:val="222222"/>
          <w:sz w:val="20"/>
          <w:szCs w:val="20"/>
        </w:rPr>
        <w:t>sh</w:t>
      </w:r>
      <w:r w:rsidR="00153FB3">
        <w:rPr>
          <w:rFonts w:ascii="Arial" w:eastAsia="Times New Roman" w:hAnsi="Arial" w:cs="Arial"/>
          <w:color w:val="222222"/>
          <w:sz w:val="20"/>
          <w:szCs w:val="20"/>
        </w:rPr>
        <w:t>es</w:t>
      </w:r>
      <w:r w:rsidR="008E0B5A">
        <w:rPr>
          <w:rFonts w:ascii="Arial" w:eastAsia="Times New Roman" w:hAnsi="Arial" w:cs="Arial"/>
          <w:color w:val="222222"/>
          <w:sz w:val="20"/>
          <w:szCs w:val="20"/>
        </w:rPr>
        <w:t xml:space="preserve"> investigators away from grant-supported research.</w:t>
      </w:r>
      <w:r w:rsidR="008D773D">
        <w:rPr>
          <w:rFonts w:ascii="Arial" w:eastAsia="Times New Roman" w:hAnsi="Arial" w:cs="Arial"/>
          <w:color w:val="222222"/>
          <w:sz w:val="20"/>
          <w:szCs w:val="20"/>
        </w:rPr>
        <w:t xml:space="preserve"> </w:t>
      </w:r>
      <w:r w:rsidR="00A95AB6">
        <w:rPr>
          <w:rFonts w:ascii="Arial" w:eastAsia="Times New Roman" w:hAnsi="Arial" w:cs="Arial"/>
          <w:color w:val="222222"/>
          <w:sz w:val="20"/>
          <w:szCs w:val="20"/>
        </w:rPr>
        <w:t xml:space="preserve"> The nation’s investment in missions and state-of-the-art facilities is founded on the belief that these facilities will lead to scientists producing great science with them.  </w:t>
      </w:r>
      <w:r w:rsidR="008D773D">
        <w:rPr>
          <w:rFonts w:ascii="Arial" w:eastAsia="Times New Roman" w:hAnsi="Arial" w:cs="Arial"/>
          <w:color w:val="222222"/>
          <w:sz w:val="20"/>
          <w:szCs w:val="20"/>
        </w:rPr>
        <w:t xml:space="preserve">We should strive for a funding success rate </w:t>
      </w:r>
      <w:r w:rsidR="00821247">
        <w:rPr>
          <w:rFonts w:ascii="Arial" w:eastAsia="Times New Roman" w:hAnsi="Arial" w:cs="Arial"/>
          <w:color w:val="222222"/>
          <w:sz w:val="20"/>
          <w:szCs w:val="20"/>
        </w:rPr>
        <w:t>that</w:t>
      </w:r>
      <w:r w:rsidR="00944EDB">
        <w:rPr>
          <w:rFonts w:ascii="Arial" w:eastAsia="Times New Roman" w:hAnsi="Arial" w:cs="Arial"/>
          <w:color w:val="222222"/>
          <w:sz w:val="20"/>
          <w:szCs w:val="20"/>
        </w:rPr>
        <w:t xml:space="preserve"> </w:t>
      </w:r>
      <w:r w:rsidR="008D773D">
        <w:rPr>
          <w:rFonts w:ascii="Arial" w:eastAsia="Times New Roman" w:hAnsi="Arial" w:cs="Arial"/>
          <w:color w:val="222222"/>
          <w:sz w:val="20"/>
          <w:szCs w:val="20"/>
        </w:rPr>
        <w:t>prevent</w:t>
      </w:r>
      <w:r w:rsidR="00944EDB">
        <w:rPr>
          <w:rFonts w:ascii="Arial" w:eastAsia="Times New Roman" w:hAnsi="Arial" w:cs="Arial"/>
          <w:color w:val="222222"/>
          <w:sz w:val="20"/>
          <w:szCs w:val="20"/>
        </w:rPr>
        <w:t>s</w:t>
      </w:r>
      <w:r w:rsidR="008D773D">
        <w:rPr>
          <w:rFonts w:ascii="Arial" w:eastAsia="Times New Roman" w:hAnsi="Arial" w:cs="Arial"/>
          <w:color w:val="222222"/>
          <w:sz w:val="20"/>
          <w:szCs w:val="20"/>
        </w:rPr>
        <w:t xml:space="preserve"> proposal writing costs from overtaking scientific productivity</w:t>
      </w:r>
      <w:r w:rsidR="0078579C">
        <w:rPr>
          <w:rFonts w:ascii="Arial" w:eastAsia="Times New Roman" w:hAnsi="Arial" w:cs="Arial"/>
          <w:color w:val="222222"/>
          <w:sz w:val="20"/>
          <w:szCs w:val="20"/>
        </w:rPr>
        <w:t xml:space="preserve">, and </w:t>
      </w:r>
      <w:r w:rsidR="00821247">
        <w:rPr>
          <w:rFonts w:ascii="Arial" w:eastAsia="Times New Roman" w:hAnsi="Arial" w:cs="Arial"/>
          <w:color w:val="222222"/>
          <w:sz w:val="20"/>
          <w:szCs w:val="20"/>
        </w:rPr>
        <w:t>that</w:t>
      </w:r>
      <w:r w:rsidR="00944EDB">
        <w:rPr>
          <w:rFonts w:ascii="Arial" w:eastAsia="Times New Roman" w:hAnsi="Arial" w:cs="Arial"/>
          <w:color w:val="222222"/>
          <w:sz w:val="20"/>
          <w:szCs w:val="20"/>
        </w:rPr>
        <w:t xml:space="preserve"> </w:t>
      </w:r>
      <w:r w:rsidR="0078579C">
        <w:rPr>
          <w:rFonts w:ascii="Arial" w:eastAsia="Times New Roman" w:hAnsi="Arial" w:cs="Arial"/>
          <w:color w:val="222222"/>
          <w:sz w:val="20"/>
          <w:szCs w:val="20"/>
        </w:rPr>
        <w:t>encourage</w:t>
      </w:r>
      <w:r w:rsidR="00944EDB">
        <w:rPr>
          <w:rFonts w:ascii="Arial" w:eastAsia="Times New Roman" w:hAnsi="Arial" w:cs="Arial"/>
          <w:color w:val="222222"/>
          <w:sz w:val="20"/>
          <w:szCs w:val="20"/>
        </w:rPr>
        <w:t>s new researchers to pursue</w:t>
      </w:r>
      <w:r w:rsidR="0078579C">
        <w:rPr>
          <w:rFonts w:ascii="Arial" w:eastAsia="Times New Roman" w:hAnsi="Arial" w:cs="Arial"/>
          <w:color w:val="222222"/>
          <w:sz w:val="20"/>
          <w:szCs w:val="20"/>
        </w:rPr>
        <w:t xml:space="preserve"> </w:t>
      </w:r>
      <w:r w:rsidR="00100DA8" w:rsidRPr="00100DA8">
        <w:rPr>
          <w:rFonts w:ascii="Arial" w:eastAsia="Times New Roman" w:hAnsi="Arial" w:cs="Arial"/>
          <w:color w:val="222222"/>
          <w:sz w:val="20"/>
          <w:szCs w:val="20"/>
        </w:rPr>
        <w:t>original, p</w:t>
      </w:r>
      <w:r w:rsidR="00100DA8">
        <w:rPr>
          <w:rFonts w:ascii="Arial" w:eastAsia="Times New Roman" w:hAnsi="Arial" w:cs="Arial"/>
          <w:color w:val="222222"/>
          <w:sz w:val="20"/>
          <w:szCs w:val="20"/>
        </w:rPr>
        <w:t>otentially transformative ideas</w:t>
      </w:r>
      <w:r w:rsidR="00382FDB">
        <w:rPr>
          <w:rFonts w:ascii="Arial" w:eastAsia="Times New Roman" w:hAnsi="Arial" w:cs="Arial"/>
          <w:color w:val="222222"/>
          <w:sz w:val="20"/>
          <w:szCs w:val="20"/>
        </w:rPr>
        <w:t xml:space="preserve">. </w:t>
      </w:r>
    </w:p>
    <w:p w14:paraId="1BDCD9D7" w14:textId="77777777" w:rsidR="007A5536" w:rsidRDefault="007A5536" w:rsidP="00812B60">
      <w:pPr>
        <w:shd w:val="clear" w:color="auto" w:fill="FFFFFF"/>
        <w:spacing w:after="0" w:line="240" w:lineRule="auto"/>
        <w:rPr>
          <w:rFonts w:ascii="Arial" w:eastAsia="Times New Roman" w:hAnsi="Arial" w:cs="Arial"/>
          <w:color w:val="222222"/>
          <w:sz w:val="20"/>
          <w:szCs w:val="20"/>
        </w:rPr>
      </w:pPr>
    </w:p>
    <w:p w14:paraId="2A02A959" w14:textId="3DE2BA38" w:rsidR="007A5536" w:rsidRDefault="00E06029" w:rsidP="00812B60">
      <w:pPr>
        <w:shd w:val="clear" w:color="auto" w:fill="FFFFFF"/>
        <w:spacing w:after="0" w:line="240" w:lineRule="auto"/>
        <w:rPr>
          <w:rFonts w:ascii="Arial" w:eastAsia="Times New Roman" w:hAnsi="Arial" w:cs="Arial"/>
          <w:sz w:val="20"/>
          <w:szCs w:val="20"/>
        </w:rPr>
      </w:pPr>
      <w:r>
        <w:rPr>
          <w:rFonts w:ascii="Arial" w:eastAsia="Times New Roman" w:hAnsi="Arial" w:cs="Arial"/>
          <w:color w:val="222222"/>
          <w:sz w:val="20"/>
          <w:szCs w:val="20"/>
        </w:rPr>
        <w:t>While this str</w:t>
      </w:r>
      <w:r w:rsidR="00E97F42">
        <w:rPr>
          <w:rFonts w:ascii="Arial" w:eastAsia="Times New Roman" w:hAnsi="Arial" w:cs="Arial"/>
          <w:color w:val="222222"/>
          <w:sz w:val="20"/>
          <w:szCs w:val="20"/>
        </w:rPr>
        <w:t>ategic advice is supported by the data shown above</w:t>
      </w:r>
      <w:r w:rsidR="00E57FA2">
        <w:rPr>
          <w:rFonts w:ascii="Arial" w:eastAsia="Times New Roman" w:hAnsi="Arial" w:cs="Arial"/>
          <w:color w:val="222222"/>
          <w:sz w:val="20"/>
          <w:szCs w:val="20"/>
        </w:rPr>
        <w:t>,</w:t>
      </w:r>
      <w:r w:rsidR="00E97F42">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the appropriate tactical solutions </w:t>
      </w:r>
      <w:r w:rsidR="00821247">
        <w:rPr>
          <w:rFonts w:ascii="Arial" w:eastAsia="Times New Roman" w:hAnsi="Arial" w:cs="Arial"/>
          <w:color w:val="222222"/>
          <w:sz w:val="20"/>
          <w:szCs w:val="20"/>
        </w:rPr>
        <w:t xml:space="preserve">required to keep astrophysics viable in the US </w:t>
      </w:r>
      <w:r>
        <w:rPr>
          <w:rFonts w:ascii="Arial" w:eastAsia="Times New Roman" w:hAnsi="Arial" w:cs="Arial"/>
          <w:color w:val="222222"/>
          <w:sz w:val="20"/>
          <w:szCs w:val="20"/>
        </w:rPr>
        <w:t xml:space="preserve">are far from clear.  </w:t>
      </w:r>
      <w:r w:rsidR="00AD5CDC">
        <w:rPr>
          <w:rFonts w:ascii="Arial" w:eastAsia="Times New Roman" w:hAnsi="Arial" w:cs="Arial"/>
          <w:color w:val="222222"/>
          <w:sz w:val="20"/>
          <w:szCs w:val="20"/>
        </w:rPr>
        <w:t>With a fixed budget, t</w:t>
      </w:r>
      <w:r>
        <w:rPr>
          <w:rFonts w:ascii="Arial" w:eastAsia="Times New Roman" w:hAnsi="Arial" w:cs="Arial"/>
          <w:color w:val="222222"/>
          <w:sz w:val="20"/>
          <w:szCs w:val="20"/>
        </w:rPr>
        <w:t xml:space="preserve">he number of individual investigator awards is </w:t>
      </w:r>
      <w:r w:rsidR="00335826">
        <w:rPr>
          <w:rFonts w:ascii="Arial" w:eastAsia="Times New Roman" w:hAnsi="Arial" w:cs="Arial"/>
          <w:color w:val="222222"/>
          <w:sz w:val="20"/>
          <w:szCs w:val="20"/>
        </w:rPr>
        <w:t>limited</w:t>
      </w:r>
      <w:r>
        <w:rPr>
          <w:rFonts w:ascii="Arial" w:eastAsia="Times New Roman" w:hAnsi="Arial" w:cs="Arial"/>
          <w:color w:val="222222"/>
          <w:sz w:val="20"/>
          <w:szCs w:val="20"/>
        </w:rPr>
        <w:t xml:space="preserve"> by existing or proposed commitments to space-based missions or ground-based facilities operations</w:t>
      </w:r>
      <w:r w:rsidRPr="000B6CE6">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In the face of constrained federal budgets, this portfolio balance becomes one of the few knobs that can be used to adjust the proportion of individual research grants </w:t>
      </w:r>
      <w:r w:rsidR="00153FB3">
        <w:rPr>
          <w:rFonts w:ascii="Arial" w:eastAsia="Times New Roman" w:hAnsi="Arial" w:cs="Arial"/>
          <w:color w:val="222222"/>
          <w:sz w:val="20"/>
          <w:szCs w:val="20"/>
        </w:rPr>
        <w:t xml:space="preserve">that </w:t>
      </w:r>
      <w:r>
        <w:rPr>
          <w:rFonts w:ascii="Arial" w:eastAsia="Times New Roman" w:hAnsi="Arial" w:cs="Arial"/>
          <w:color w:val="222222"/>
          <w:sz w:val="20"/>
          <w:szCs w:val="20"/>
        </w:rPr>
        <w:t>are funded</w:t>
      </w:r>
      <w:r w:rsidR="00AE2ABD">
        <w:rPr>
          <w:rFonts w:ascii="Arial" w:eastAsia="Times New Roman" w:hAnsi="Arial" w:cs="Arial"/>
          <w:color w:val="222222"/>
          <w:sz w:val="20"/>
          <w:szCs w:val="20"/>
        </w:rPr>
        <w:t xml:space="preserve">.  </w:t>
      </w:r>
      <w:r w:rsidR="00AE2ABD" w:rsidRPr="000C794A">
        <w:rPr>
          <w:rFonts w:ascii="Arial" w:eastAsia="Times New Roman" w:hAnsi="Arial" w:cs="Arial"/>
          <w:sz w:val="20"/>
          <w:szCs w:val="20"/>
        </w:rPr>
        <w:t xml:space="preserve">For NSF/AST, the </w:t>
      </w:r>
      <w:r w:rsidR="00044F25">
        <w:rPr>
          <w:rFonts w:ascii="Arial" w:eastAsia="Times New Roman" w:hAnsi="Arial" w:cs="Arial"/>
          <w:sz w:val="20"/>
          <w:szCs w:val="20"/>
        </w:rPr>
        <w:t xml:space="preserve">grants-to-facilities </w:t>
      </w:r>
      <w:r w:rsidR="00AE2ABD" w:rsidRPr="000C794A">
        <w:rPr>
          <w:rFonts w:ascii="Arial" w:eastAsia="Times New Roman" w:hAnsi="Arial" w:cs="Arial"/>
          <w:sz w:val="20"/>
          <w:szCs w:val="20"/>
        </w:rPr>
        <w:t xml:space="preserve">balance </w:t>
      </w:r>
      <w:r w:rsidR="00635CAF">
        <w:rPr>
          <w:rFonts w:ascii="Arial" w:eastAsia="Times New Roman" w:hAnsi="Arial" w:cs="Arial"/>
          <w:sz w:val="20"/>
          <w:szCs w:val="20"/>
        </w:rPr>
        <w:t xml:space="preserve">improved </w:t>
      </w:r>
      <w:r w:rsidR="00AE2ABD" w:rsidRPr="000C794A">
        <w:rPr>
          <w:rFonts w:ascii="Arial" w:eastAsia="Times New Roman" w:hAnsi="Arial" w:cs="Arial"/>
          <w:sz w:val="20"/>
          <w:szCs w:val="20"/>
        </w:rPr>
        <w:t xml:space="preserve">from a value of </w:t>
      </w:r>
      <w:r w:rsidR="00635CAF">
        <w:rPr>
          <w:rFonts w:ascii="Arial" w:eastAsia="Times New Roman" w:hAnsi="Arial" w:cs="Arial"/>
          <w:sz w:val="20"/>
          <w:szCs w:val="20"/>
        </w:rPr>
        <w:t>35:65</w:t>
      </w:r>
      <w:r w:rsidR="00AE2ABD" w:rsidRPr="000C794A">
        <w:rPr>
          <w:rFonts w:ascii="Arial" w:eastAsia="Times New Roman" w:hAnsi="Arial" w:cs="Arial"/>
          <w:sz w:val="20"/>
          <w:szCs w:val="20"/>
        </w:rPr>
        <w:t xml:space="preserve"> in the late 1990s to a va</w:t>
      </w:r>
      <w:r w:rsidR="00AE2ABD">
        <w:rPr>
          <w:rFonts w:ascii="Arial" w:eastAsia="Times New Roman" w:hAnsi="Arial" w:cs="Arial"/>
          <w:sz w:val="20"/>
          <w:szCs w:val="20"/>
        </w:rPr>
        <w:t xml:space="preserve">lue close to 50:50 around 2008.  The balance is now inching back towards </w:t>
      </w:r>
      <w:r w:rsidR="00635CAF">
        <w:rPr>
          <w:rFonts w:ascii="Arial" w:eastAsia="Times New Roman" w:hAnsi="Arial" w:cs="Arial"/>
          <w:sz w:val="20"/>
          <w:szCs w:val="20"/>
        </w:rPr>
        <w:t>40:60</w:t>
      </w:r>
      <w:r w:rsidR="00AE2ABD" w:rsidRPr="000C794A">
        <w:rPr>
          <w:rFonts w:ascii="Arial" w:eastAsia="Times New Roman" w:hAnsi="Arial" w:cs="Arial"/>
          <w:sz w:val="20"/>
          <w:szCs w:val="20"/>
        </w:rPr>
        <w:t xml:space="preserve">, </w:t>
      </w:r>
      <w:r w:rsidR="00635CAF">
        <w:rPr>
          <w:rFonts w:ascii="Arial" w:eastAsia="Times New Roman" w:hAnsi="Arial" w:cs="Arial"/>
          <w:sz w:val="20"/>
          <w:szCs w:val="20"/>
        </w:rPr>
        <w:t>with even lower</w:t>
      </w:r>
      <w:r w:rsidR="00AE2ABD">
        <w:rPr>
          <w:rFonts w:ascii="Arial" w:eastAsia="Times New Roman" w:hAnsi="Arial" w:cs="Arial"/>
          <w:sz w:val="20"/>
          <w:szCs w:val="20"/>
        </w:rPr>
        <w:t xml:space="preserve"> ratios predicted for the future.  This led </w:t>
      </w:r>
      <w:r w:rsidR="00AE2ABD" w:rsidRPr="000C794A">
        <w:rPr>
          <w:rFonts w:ascii="Arial" w:eastAsia="Times New Roman" w:hAnsi="Arial" w:cs="Arial"/>
          <w:sz w:val="20"/>
          <w:szCs w:val="20"/>
        </w:rPr>
        <w:t>to the 2012 Portfolio Review</w:t>
      </w:r>
      <w:r w:rsidR="00635CAF">
        <w:rPr>
          <w:rFonts w:ascii="Arial" w:eastAsia="Times New Roman" w:hAnsi="Arial" w:cs="Arial"/>
          <w:sz w:val="20"/>
          <w:szCs w:val="20"/>
        </w:rPr>
        <w:t>,</w:t>
      </w:r>
      <w:r w:rsidR="00AE2ABD">
        <w:rPr>
          <w:rFonts w:ascii="Arial" w:eastAsia="Times New Roman" w:hAnsi="Arial" w:cs="Arial"/>
          <w:sz w:val="20"/>
          <w:szCs w:val="20"/>
        </w:rPr>
        <w:t xml:space="preserve"> which urged divestment of </w:t>
      </w:r>
      <w:r w:rsidR="00AE2ABD">
        <w:rPr>
          <w:rFonts w:ascii="Arial" w:eastAsia="Times New Roman" w:hAnsi="Arial" w:cs="Arial"/>
          <w:sz w:val="20"/>
          <w:szCs w:val="20"/>
        </w:rPr>
        <w:lastRenderedPageBreak/>
        <w:t xml:space="preserve">some optical and radio telescopes, but these adjustments </w:t>
      </w:r>
      <w:r w:rsidR="00635CAF">
        <w:rPr>
          <w:rFonts w:ascii="Arial" w:eastAsia="Times New Roman" w:hAnsi="Arial" w:cs="Arial"/>
          <w:sz w:val="20"/>
          <w:szCs w:val="20"/>
        </w:rPr>
        <w:t xml:space="preserve">will </w:t>
      </w:r>
      <w:r w:rsidR="00AE2ABD">
        <w:rPr>
          <w:rFonts w:ascii="Arial" w:eastAsia="Times New Roman" w:hAnsi="Arial" w:cs="Arial"/>
          <w:sz w:val="20"/>
          <w:szCs w:val="20"/>
        </w:rPr>
        <w:t xml:space="preserve">not </w:t>
      </w:r>
      <w:r w:rsidR="00635CAF">
        <w:rPr>
          <w:rFonts w:ascii="Arial" w:eastAsia="Times New Roman" w:hAnsi="Arial" w:cs="Arial"/>
          <w:sz w:val="20"/>
          <w:szCs w:val="20"/>
        </w:rPr>
        <w:t xml:space="preserve">be </w:t>
      </w:r>
      <w:r w:rsidR="00AE2ABD">
        <w:rPr>
          <w:rFonts w:ascii="Arial" w:eastAsia="Times New Roman" w:hAnsi="Arial" w:cs="Arial"/>
          <w:sz w:val="20"/>
          <w:szCs w:val="20"/>
        </w:rPr>
        <w:t xml:space="preserve">sufficient to pull the success rates above the 20% threshold. </w:t>
      </w:r>
      <w:r w:rsidR="00B83E84" w:rsidRPr="00A468F0">
        <w:rPr>
          <w:rFonts w:ascii="Arial" w:eastAsia="Times New Roman" w:hAnsi="Arial" w:cs="Arial"/>
          <w:sz w:val="20"/>
          <w:szCs w:val="20"/>
        </w:rPr>
        <w:t>The situation in NASA Astrophysics is somewhat better at present, and there is the hope</w:t>
      </w:r>
      <w:r w:rsidR="00B83E84" w:rsidRPr="00B83E84">
        <w:rPr>
          <w:rFonts w:ascii="Arial" w:eastAsia="Times New Roman" w:hAnsi="Arial" w:cs="Arial"/>
          <w:sz w:val="20"/>
          <w:szCs w:val="20"/>
        </w:rPr>
        <w:t xml:space="preserve"> of increasing funding through upcoming G</w:t>
      </w:r>
      <w:r w:rsidR="00130D8F">
        <w:rPr>
          <w:rFonts w:ascii="Arial" w:eastAsia="Times New Roman" w:hAnsi="Arial" w:cs="Arial"/>
          <w:sz w:val="20"/>
          <w:szCs w:val="20"/>
        </w:rPr>
        <w:t xml:space="preserve">uest Observer </w:t>
      </w:r>
      <w:r w:rsidR="00B83E84" w:rsidRPr="00B83E84">
        <w:rPr>
          <w:rFonts w:ascii="Arial" w:eastAsia="Times New Roman" w:hAnsi="Arial" w:cs="Arial"/>
          <w:sz w:val="20"/>
          <w:szCs w:val="20"/>
        </w:rPr>
        <w:t>opportunities (e.g., in connection with JWST)</w:t>
      </w:r>
      <w:r w:rsidR="005C5FEC" w:rsidRPr="00B83E84">
        <w:rPr>
          <w:rFonts w:ascii="Arial" w:eastAsia="Times New Roman" w:hAnsi="Arial" w:cs="Arial"/>
          <w:sz w:val="20"/>
          <w:szCs w:val="20"/>
        </w:rPr>
        <w:t>.</w:t>
      </w:r>
      <w:r w:rsidR="005C5FEC" w:rsidRPr="0060748E">
        <w:rPr>
          <w:rFonts w:ascii="Arial" w:eastAsia="Times New Roman" w:hAnsi="Arial" w:cs="Arial"/>
          <w:sz w:val="20"/>
          <w:szCs w:val="20"/>
        </w:rPr>
        <w:t xml:space="preserve"> </w:t>
      </w:r>
      <w:r w:rsidR="005B5EC4">
        <w:rPr>
          <w:rFonts w:ascii="Arial" w:eastAsia="Times New Roman" w:hAnsi="Arial" w:cs="Arial"/>
          <w:sz w:val="20"/>
          <w:szCs w:val="20"/>
        </w:rPr>
        <w:t>Over the last decade the</w:t>
      </w:r>
      <w:r w:rsidR="00335826">
        <w:rPr>
          <w:rFonts w:ascii="Arial" w:eastAsia="Times New Roman" w:hAnsi="Arial" w:cs="Arial"/>
          <w:sz w:val="20"/>
          <w:szCs w:val="20"/>
        </w:rPr>
        <w:t xml:space="preserve"> NASA </w:t>
      </w:r>
      <w:proofErr w:type="spellStart"/>
      <w:r w:rsidR="00335826">
        <w:rPr>
          <w:rFonts w:ascii="Arial" w:eastAsia="Times New Roman" w:hAnsi="Arial" w:cs="Arial"/>
          <w:sz w:val="20"/>
          <w:szCs w:val="20"/>
        </w:rPr>
        <w:t>Heliophysics</w:t>
      </w:r>
      <w:proofErr w:type="spellEnd"/>
      <w:r w:rsidR="00335826">
        <w:rPr>
          <w:rFonts w:ascii="Arial" w:eastAsia="Times New Roman" w:hAnsi="Arial" w:cs="Arial"/>
          <w:sz w:val="20"/>
          <w:szCs w:val="20"/>
        </w:rPr>
        <w:t xml:space="preserve"> program has increasingly </w:t>
      </w:r>
      <w:r w:rsidR="005B5EC4">
        <w:rPr>
          <w:rFonts w:ascii="Arial" w:eastAsia="Times New Roman" w:hAnsi="Arial" w:cs="Arial"/>
          <w:sz w:val="20"/>
          <w:szCs w:val="20"/>
        </w:rPr>
        <w:t>emphasized</w:t>
      </w:r>
      <w:r w:rsidR="00335826">
        <w:rPr>
          <w:rFonts w:ascii="Arial" w:eastAsia="Times New Roman" w:hAnsi="Arial" w:cs="Arial"/>
          <w:sz w:val="20"/>
          <w:szCs w:val="20"/>
        </w:rPr>
        <w:t xml:space="preserve"> </w:t>
      </w:r>
      <w:r w:rsidR="005B5EC4">
        <w:rPr>
          <w:rFonts w:ascii="Arial" w:eastAsia="Times New Roman" w:hAnsi="Arial" w:cs="Arial"/>
          <w:sz w:val="20"/>
          <w:szCs w:val="20"/>
        </w:rPr>
        <w:t>a few</w:t>
      </w:r>
      <w:r w:rsidR="00335826">
        <w:rPr>
          <w:rFonts w:ascii="Arial" w:eastAsia="Times New Roman" w:hAnsi="Arial" w:cs="Arial"/>
          <w:sz w:val="20"/>
          <w:szCs w:val="20"/>
        </w:rPr>
        <w:t xml:space="preserve"> larger missions at the expense of smaller missions and the competed research program. The Solar and Space Physics survey </w:t>
      </w:r>
      <w:r w:rsidR="005B5EC4">
        <w:rPr>
          <w:rFonts w:ascii="Arial" w:eastAsia="Times New Roman" w:hAnsi="Arial" w:cs="Arial"/>
          <w:sz w:val="20"/>
          <w:szCs w:val="20"/>
        </w:rPr>
        <w:t>gave specific recommendations to rebalance</w:t>
      </w:r>
      <w:r w:rsidR="00335826">
        <w:rPr>
          <w:rFonts w:ascii="Arial" w:eastAsia="Times New Roman" w:hAnsi="Arial" w:cs="Arial"/>
          <w:sz w:val="20"/>
          <w:szCs w:val="20"/>
        </w:rPr>
        <w:t xml:space="preserve"> the portfolio in the next decade</w:t>
      </w:r>
      <w:r w:rsidR="00235E27">
        <w:rPr>
          <w:rFonts w:ascii="Arial" w:eastAsia="Times New Roman" w:hAnsi="Arial" w:cs="Arial"/>
          <w:sz w:val="20"/>
          <w:szCs w:val="20"/>
        </w:rPr>
        <w:t>, with an emphasis on research and analysis embodied in the DRIVE program</w:t>
      </w:r>
      <w:r w:rsidR="00335826">
        <w:rPr>
          <w:rFonts w:ascii="Arial" w:eastAsia="Times New Roman" w:hAnsi="Arial" w:cs="Arial"/>
          <w:sz w:val="20"/>
          <w:szCs w:val="20"/>
        </w:rPr>
        <w:t>. NSF/GEO</w:t>
      </w:r>
      <w:r w:rsidR="005B5EC4">
        <w:rPr>
          <w:rFonts w:ascii="Arial" w:eastAsia="Times New Roman" w:hAnsi="Arial" w:cs="Arial"/>
          <w:sz w:val="20"/>
          <w:szCs w:val="20"/>
        </w:rPr>
        <w:t>/AGS</w:t>
      </w:r>
      <w:r w:rsidR="00335826">
        <w:rPr>
          <w:rFonts w:ascii="Arial" w:eastAsia="Times New Roman" w:hAnsi="Arial" w:cs="Arial"/>
          <w:sz w:val="20"/>
          <w:szCs w:val="20"/>
        </w:rPr>
        <w:t xml:space="preserve"> is currently conducting its own portfolio review</w:t>
      </w:r>
      <w:r w:rsidR="006D18FC">
        <w:rPr>
          <w:rFonts w:ascii="Arial" w:eastAsia="Times New Roman" w:hAnsi="Arial" w:cs="Arial"/>
          <w:sz w:val="20"/>
          <w:szCs w:val="20"/>
        </w:rPr>
        <w:t xml:space="preserve"> of </w:t>
      </w:r>
      <w:proofErr w:type="spellStart"/>
      <w:r w:rsidR="006D18FC">
        <w:rPr>
          <w:rFonts w:ascii="Arial" w:eastAsia="Times New Roman" w:hAnsi="Arial" w:cs="Arial"/>
          <w:sz w:val="20"/>
          <w:szCs w:val="20"/>
        </w:rPr>
        <w:t>geospace</w:t>
      </w:r>
      <w:proofErr w:type="spellEnd"/>
      <w:r w:rsidR="006D18FC">
        <w:rPr>
          <w:rFonts w:ascii="Arial" w:eastAsia="Times New Roman" w:hAnsi="Arial" w:cs="Arial"/>
          <w:sz w:val="20"/>
          <w:szCs w:val="20"/>
        </w:rPr>
        <w:t xml:space="preserve"> facilities</w:t>
      </w:r>
      <w:r w:rsidR="005B5EC4">
        <w:rPr>
          <w:rFonts w:ascii="Arial" w:eastAsia="Times New Roman" w:hAnsi="Arial" w:cs="Arial"/>
          <w:sz w:val="20"/>
          <w:szCs w:val="20"/>
        </w:rPr>
        <w:t xml:space="preserve"> in order to address this challenge of operating new facilities versus the expense of existing facilities and the competed research programs</w:t>
      </w:r>
      <w:r w:rsidR="009D55B9">
        <w:rPr>
          <w:rFonts w:ascii="Arial" w:eastAsia="Times New Roman" w:hAnsi="Arial" w:cs="Arial"/>
          <w:sz w:val="20"/>
          <w:szCs w:val="20"/>
        </w:rPr>
        <w:t xml:space="preserve">.  </w:t>
      </w:r>
    </w:p>
    <w:p w14:paraId="432797A5" w14:textId="0297DC28" w:rsidR="007A5536" w:rsidRDefault="007A5536" w:rsidP="00812B60">
      <w:pPr>
        <w:shd w:val="clear" w:color="auto" w:fill="FFFFFF"/>
        <w:spacing w:after="0" w:line="240" w:lineRule="auto"/>
        <w:rPr>
          <w:rFonts w:ascii="Arial" w:eastAsia="Times New Roman" w:hAnsi="Arial" w:cs="Arial"/>
          <w:sz w:val="20"/>
          <w:szCs w:val="20"/>
        </w:rPr>
      </w:pPr>
    </w:p>
    <w:p w14:paraId="25BEBA6A" w14:textId="56E70839" w:rsidR="00195B93" w:rsidRDefault="007A5536" w:rsidP="007A5536">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sz w:val="20"/>
          <w:szCs w:val="20"/>
        </w:rPr>
        <w:t>A</w:t>
      </w:r>
      <w:r w:rsidR="00F818A4">
        <w:rPr>
          <w:rFonts w:ascii="Arial" w:eastAsia="Times New Roman" w:hAnsi="Arial" w:cs="Arial"/>
          <w:color w:val="222222"/>
          <w:sz w:val="20"/>
          <w:szCs w:val="20"/>
        </w:rPr>
        <w:t>nother adjustable knob could be the size of the average grant budget, but data indicate that proposal budgets are not gro</w:t>
      </w:r>
      <w:r w:rsidR="006E5919">
        <w:rPr>
          <w:rFonts w:ascii="Arial" w:eastAsia="Times New Roman" w:hAnsi="Arial" w:cs="Arial"/>
          <w:color w:val="222222"/>
          <w:sz w:val="20"/>
          <w:szCs w:val="20"/>
        </w:rPr>
        <w:t xml:space="preserve">wing out of line with inflation. </w:t>
      </w:r>
      <w:r w:rsidR="003E6A3E">
        <w:rPr>
          <w:rFonts w:ascii="Arial" w:eastAsia="Times New Roman" w:hAnsi="Arial" w:cs="Arial"/>
          <w:color w:val="222222"/>
          <w:sz w:val="20"/>
          <w:szCs w:val="20"/>
        </w:rPr>
        <w:t xml:space="preserve">The </w:t>
      </w:r>
      <w:r w:rsidR="003C2958">
        <w:rPr>
          <w:rFonts w:ascii="Arial" w:eastAsia="Times New Roman" w:hAnsi="Arial" w:cs="Arial"/>
          <w:color w:val="222222"/>
          <w:sz w:val="20"/>
          <w:szCs w:val="20"/>
        </w:rPr>
        <w:t xml:space="preserve">median </w:t>
      </w:r>
      <w:r w:rsidR="003E6A3E">
        <w:rPr>
          <w:rFonts w:ascii="Arial" w:eastAsia="Times New Roman" w:hAnsi="Arial" w:cs="Arial"/>
          <w:color w:val="222222"/>
          <w:sz w:val="20"/>
          <w:szCs w:val="20"/>
        </w:rPr>
        <w:t>proposal request for NSF/AST AAG program</w:t>
      </w:r>
      <w:r w:rsidR="003E6A3E" w:rsidRPr="001E12EB">
        <w:rPr>
          <w:rFonts w:ascii="Arial" w:eastAsia="Times New Roman" w:hAnsi="Arial" w:cs="Arial"/>
          <w:color w:val="222222"/>
          <w:sz w:val="20"/>
          <w:szCs w:val="20"/>
        </w:rPr>
        <w:t xml:space="preserve"> has increased from $93k</w:t>
      </w:r>
      <w:r w:rsidR="00660B3E">
        <w:rPr>
          <w:rFonts w:ascii="Arial" w:eastAsia="Times New Roman" w:hAnsi="Arial" w:cs="Arial"/>
          <w:color w:val="222222"/>
          <w:sz w:val="20"/>
          <w:szCs w:val="20"/>
        </w:rPr>
        <w:t>/year</w:t>
      </w:r>
      <w:r w:rsidR="003E6A3E" w:rsidRPr="001E12EB">
        <w:rPr>
          <w:rFonts w:ascii="Arial" w:eastAsia="Times New Roman" w:hAnsi="Arial" w:cs="Arial"/>
          <w:color w:val="222222"/>
          <w:sz w:val="20"/>
          <w:szCs w:val="20"/>
        </w:rPr>
        <w:t xml:space="preserve"> to $150</w:t>
      </w:r>
      <w:r w:rsidR="003E6A3E">
        <w:rPr>
          <w:rFonts w:ascii="Arial" w:eastAsia="Times New Roman" w:hAnsi="Arial" w:cs="Arial"/>
          <w:color w:val="222222"/>
          <w:sz w:val="20"/>
          <w:szCs w:val="20"/>
        </w:rPr>
        <w:t>k</w:t>
      </w:r>
      <w:r w:rsidR="00660B3E">
        <w:rPr>
          <w:rFonts w:ascii="Arial" w:eastAsia="Times New Roman" w:hAnsi="Arial" w:cs="Arial"/>
          <w:color w:val="222222"/>
          <w:sz w:val="20"/>
          <w:szCs w:val="20"/>
        </w:rPr>
        <w:t>/year</w:t>
      </w:r>
      <w:r w:rsidR="003E6A3E">
        <w:rPr>
          <w:rFonts w:ascii="Arial" w:eastAsia="Times New Roman" w:hAnsi="Arial" w:cs="Arial"/>
          <w:color w:val="222222"/>
          <w:sz w:val="20"/>
          <w:szCs w:val="20"/>
        </w:rPr>
        <w:t xml:space="preserve"> over the last 25-year p</w:t>
      </w:r>
      <w:r w:rsidR="00B00D46">
        <w:rPr>
          <w:rFonts w:ascii="Arial" w:eastAsia="Times New Roman" w:hAnsi="Arial" w:cs="Arial"/>
          <w:color w:val="222222"/>
          <w:sz w:val="20"/>
          <w:szCs w:val="20"/>
        </w:rPr>
        <w:t>eriod, which corresponds to a 12</w:t>
      </w:r>
      <w:r w:rsidR="003E6A3E">
        <w:rPr>
          <w:rFonts w:ascii="Arial" w:eastAsia="Times New Roman" w:hAnsi="Arial" w:cs="Arial"/>
          <w:color w:val="222222"/>
          <w:sz w:val="20"/>
          <w:szCs w:val="20"/>
        </w:rPr>
        <w:t xml:space="preserve">% reduction </w:t>
      </w:r>
      <w:r w:rsidR="00B00D46">
        <w:rPr>
          <w:rFonts w:ascii="Arial" w:eastAsia="Times New Roman" w:hAnsi="Arial" w:cs="Arial"/>
          <w:color w:val="222222"/>
          <w:sz w:val="20"/>
          <w:szCs w:val="20"/>
        </w:rPr>
        <w:t xml:space="preserve">in </w:t>
      </w:r>
      <w:r w:rsidR="00737AB8">
        <w:rPr>
          <w:rFonts w:ascii="Arial" w:eastAsia="Times New Roman" w:hAnsi="Arial" w:cs="Arial"/>
          <w:color w:val="222222"/>
          <w:sz w:val="20"/>
          <w:szCs w:val="20"/>
        </w:rPr>
        <w:t xml:space="preserve">constant </w:t>
      </w:r>
      <w:r w:rsidR="00B00D46">
        <w:rPr>
          <w:rFonts w:ascii="Arial" w:eastAsia="Times New Roman" w:hAnsi="Arial" w:cs="Arial"/>
          <w:color w:val="222222"/>
          <w:sz w:val="20"/>
          <w:szCs w:val="20"/>
        </w:rPr>
        <w:t xml:space="preserve">2015 </w:t>
      </w:r>
      <w:r w:rsidR="00737AB8">
        <w:rPr>
          <w:rFonts w:ascii="Arial" w:eastAsia="Times New Roman" w:hAnsi="Arial" w:cs="Arial"/>
          <w:color w:val="222222"/>
          <w:sz w:val="20"/>
          <w:szCs w:val="20"/>
        </w:rPr>
        <w:t xml:space="preserve">dollars.  </w:t>
      </w:r>
      <w:r w:rsidR="00235E27">
        <w:rPr>
          <w:rFonts w:ascii="Arial" w:eastAsia="Times New Roman" w:hAnsi="Arial" w:cs="Arial"/>
          <w:color w:val="222222"/>
          <w:sz w:val="20"/>
          <w:szCs w:val="20"/>
        </w:rPr>
        <w:t>If anything</w:t>
      </w:r>
      <w:r w:rsidR="006A78A7">
        <w:rPr>
          <w:rFonts w:ascii="Arial" w:eastAsia="Times New Roman" w:hAnsi="Arial" w:cs="Arial"/>
          <w:color w:val="222222"/>
          <w:sz w:val="20"/>
          <w:szCs w:val="20"/>
        </w:rPr>
        <w:t>,</w:t>
      </w:r>
      <w:r w:rsidR="00235E27">
        <w:rPr>
          <w:rFonts w:ascii="Arial" w:eastAsia="Times New Roman" w:hAnsi="Arial" w:cs="Arial"/>
          <w:color w:val="222222"/>
          <w:sz w:val="20"/>
          <w:szCs w:val="20"/>
        </w:rPr>
        <w:t xml:space="preserve"> reducing the size of </w:t>
      </w:r>
      <w:r w:rsidR="006A78A7">
        <w:rPr>
          <w:rFonts w:ascii="Arial" w:eastAsia="Times New Roman" w:hAnsi="Arial" w:cs="Arial"/>
          <w:color w:val="222222"/>
          <w:sz w:val="20"/>
          <w:szCs w:val="20"/>
        </w:rPr>
        <w:t xml:space="preserve">grant </w:t>
      </w:r>
      <w:r w:rsidR="00235E27">
        <w:rPr>
          <w:rFonts w:ascii="Arial" w:eastAsia="Times New Roman" w:hAnsi="Arial" w:cs="Arial"/>
          <w:color w:val="222222"/>
          <w:sz w:val="20"/>
          <w:szCs w:val="20"/>
        </w:rPr>
        <w:t>budgets will exacerbate the problem</w:t>
      </w:r>
      <w:r w:rsidR="006A78A7">
        <w:rPr>
          <w:rFonts w:ascii="Arial" w:eastAsia="Times New Roman" w:hAnsi="Arial" w:cs="Arial"/>
          <w:color w:val="222222"/>
          <w:sz w:val="20"/>
          <w:szCs w:val="20"/>
        </w:rPr>
        <w:t>,</w:t>
      </w:r>
      <w:r w:rsidR="00235E27">
        <w:rPr>
          <w:rFonts w:ascii="Arial" w:eastAsia="Times New Roman" w:hAnsi="Arial" w:cs="Arial"/>
          <w:color w:val="222222"/>
          <w:sz w:val="20"/>
          <w:szCs w:val="20"/>
        </w:rPr>
        <w:t xml:space="preserve"> </w:t>
      </w:r>
      <w:r w:rsidR="006A78A7">
        <w:rPr>
          <w:rFonts w:ascii="Arial" w:eastAsia="Times New Roman" w:hAnsi="Arial" w:cs="Arial"/>
          <w:color w:val="222222"/>
          <w:sz w:val="20"/>
          <w:szCs w:val="20"/>
        </w:rPr>
        <w:t xml:space="preserve">since </w:t>
      </w:r>
      <w:r w:rsidR="00235E27">
        <w:rPr>
          <w:rFonts w:ascii="Arial" w:eastAsia="Times New Roman" w:hAnsi="Arial" w:cs="Arial"/>
          <w:color w:val="222222"/>
          <w:sz w:val="20"/>
          <w:szCs w:val="20"/>
        </w:rPr>
        <w:t xml:space="preserve">more successful proposals are </w:t>
      </w:r>
      <w:r w:rsidR="006A78A7">
        <w:rPr>
          <w:rFonts w:ascii="Arial" w:eastAsia="Times New Roman" w:hAnsi="Arial" w:cs="Arial"/>
          <w:color w:val="222222"/>
          <w:sz w:val="20"/>
          <w:szCs w:val="20"/>
        </w:rPr>
        <w:t xml:space="preserve">then </w:t>
      </w:r>
      <w:r w:rsidR="00235E27">
        <w:rPr>
          <w:rFonts w:ascii="Arial" w:eastAsia="Times New Roman" w:hAnsi="Arial" w:cs="Arial"/>
          <w:color w:val="222222"/>
          <w:sz w:val="20"/>
          <w:szCs w:val="20"/>
        </w:rPr>
        <w:t>required to support the average researcher</w:t>
      </w:r>
      <w:r w:rsidR="006A78A7">
        <w:rPr>
          <w:rFonts w:ascii="Arial" w:eastAsia="Times New Roman" w:hAnsi="Arial" w:cs="Arial"/>
          <w:color w:val="222222"/>
          <w:sz w:val="20"/>
          <w:szCs w:val="20"/>
        </w:rPr>
        <w:t xml:space="preserve"> or team</w:t>
      </w:r>
      <w:r w:rsidR="00235E27">
        <w:rPr>
          <w:rFonts w:ascii="Arial" w:eastAsia="Times New Roman" w:hAnsi="Arial" w:cs="Arial"/>
          <w:color w:val="222222"/>
          <w:sz w:val="20"/>
          <w:szCs w:val="20"/>
        </w:rPr>
        <w:t>.</w:t>
      </w:r>
      <w:r w:rsidR="003E6A3E">
        <w:rPr>
          <w:rFonts w:ascii="Arial" w:eastAsia="Times New Roman" w:hAnsi="Arial" w:cs="Arial"/>
          <w:color w:val="222222"/>
          <w:sz w:val="20"/>
          <w:szCs w:val="20"/>
        </w:rPr>
        <w:t xml:space="preserve"> </w:t>
      </w:r>
      <w:r w:rsidR="00FC4217" w:rsidRPr="00FC4217">
        <w:rPr>
          <w:rFonts w:ascii="Arial" w:eastAsia="Times New Roman" w:hAnsi="Arial" w:cs="Arial"/>
          <w:color w:val="222222"/>
          <w:sz w:val="20"/>
          <w:szCs w:val="20"/>
        </w:rPr>
        <w:t>Reducing the size of individual research grants, decreasing the number of funding opportunities available, limiting the number of proposal submissions per investigator, or enforcing a pre</w:t>
      </w:r>
      <w:r w:rsidR="00195B93">
        <w:rPr>
          <w:rFonts w:ascii="Arial" w:eastAsia="Times New Roman" w:hAnsi="Arial" w:cs="Arial"/>
          <w:color w:val="222222"/>
          <w:sz w:val="20"/>
          <w:szCs w:val="20"/>
        </w:rPr>
        <w:t>-</w:t>
      </w:r>
      <w:r w:rsidR="00FC4217" w:rsidRPr="00FC4217">
        <w:rPr>
          <w:rFonts w:ascii="Arial" w:eastAsia="Times New Roman" w:hAnsi="Arial" w:cs="Arial"/>
          <w:color w:val="222222"/>
          <w:sz w:val="20"/>
          <w:szCs w:val="20"/>
        </w:rPr>
        <w:t xml:space="preserve">proposal stage </w:t>
      </w:r>
      <w:r w:rsidR="00010495">
        <w:rPr>
          <w:rFonts w:ascii="Arial" w:eastAsia="Times New Roman" w:hAnsi="Arial" w:cs="Arial"/>
          <w:color w:val="222222"/>
          <w:sz w:val="20"/>
          <w:szCs w:val="20"/>
        </w:rPr>
        <w:t>may</w:t>
      </w:r>
      <w:r w:rsidR="00010495" w:rsidRPr="00FC4217">
        <w:rPr>
          <w:rFonts w:ascii="Arial" w:eastAsia="Times New Roman" w:hAnsi="Arial" w:cs="Arial"/>
          <w:color w:val="222222"/>
          <w:sz w:val="20"/>
          <w:szCs w:val="20"/>
        </w:rPr>
        <w:t xml:space="preserve"> </w:t>
      </w:r>
      <w:r w:rsidR="00FC4217" w:rsidRPr="00FC4217">
        <w:rPr>
          <w:rFonts w:ascii="Arial" w:eastAsia="Times New Roman" w:hAnsi="Arial" w:cs="Arial"/>
          <w:color w:val="222222"/>
          <w:sz w:val="20"/>
          <w:szCs w:val="20"/>
        </w:rPr>
        <w:t>artificially raise funding rates</w:t>
      </w:r>
      <w:r w:rsidR="00010495">
        <w:rPr>
          <w:rFonts w:ascii="Arial" w:eastAsia="Times New Roman" w:hAnsi="Arial" w:cs="Arial"/>
          <w:color w:val="222222"/>
          <w:sz w:val="20"/>
          <w:szCs w:val="20"/>
        </w:rPr>
        <w:t xml:space="preserve"> in the short term</w:t>
      </w:r>
      <w:r w:rsidR="00FC4217" w:rsidRPr="00FC4217">
        <w:rPr>
          <w:rFonts w:ascii="Arial" w:eastAsia="Times New Roman" w:hAnsi="Arial" w:cs="Arial"/>
          <w:color w:val="222222"/>
          <w:sz w:val="20"/>
          <w:szCs w:val="20"/>
        </w:rPr>
        <w:t xml:space="preserve">, but will actually only serve to disguise the problem </w:t>
      </w:r>
      <w:r w:rsidR="00FC4217">
        <w:rPr>
          <w:rFonts w:ascii="Arial" w:eastAsia="Times New Roman" w:hAnsi="Arial" w:cs="Arial"/>
          <w:color w:val="222222"/>
          <w:sz w:val="20"/>
          <w:szCs w:val="20"/>
        </w:rPr>
        <w:t>instead of</w:t>
      </w:r>
      <w:r w:rsidR="00FC4217" w:rsidRPr="00FC4217">
        <w:rPr>
          <w:rFonts w:ascii="Arial" w:eastAsia="Times New Roman" w:hAnsi="Arial" w:cs="Arial"/>
          <w:color w:val="222222"/>
          <w:sz w:val="20"/>
          <w:szCs w:val="20"/>
        </w:rPr>
        <w:t xml:space="preserve"> solving it. </w:t>
      </w:r>
      <w:r w:rsidR="006E5919">
        <w:rPr>
          <w:rFonts w:ascii="Arial" w:eastAsia="Times New Roman" w:hAnsi="Arial" w:cs="Arial"/>
          <w:color w:val="222222"/>
          <w:sz w:val="20"/>
          <w:szCs w:val="20"/>
        </w:rPr>
        <w:t xml:space="preserve">Eventually it is not worth applying for a funding opportunity that cannot </w:t>
      </w:r>
      <w:r w:rsidR="00506B53">
        <w:rPr>
          <w:rFonts w:ascii="Arial" w:eastAsia="Times New Roman" w:hAnsi="Arial" w:cs="Arial"/>
          <w:color w:val="222222"/>
          <w:sz w:val="20"/>
          <w:szCs w:val="20"/>
        </w:rPr>
        <w:t xml:space="preserve">credibly </w:t>
      </w:r>
      <w:r w:rsidR="006E5919">
        <w:rPr>
          <w:rFonts w:ascii="Arial" w:eastAsia="Times New Roman" w:hAnsi="Arial" w:cs="Arial"/>
          <w:color w:val="222222"/>
          <w:sz w:val="20"/>
          <w:szCs w:val="20"/>
        </w:rPr>
        <w:t xml:space="preserve">support </w:t>
      </w:r>
      <w:r w:rsidR="00DB3387">
        <w:rPr>
          <w:rFonts w:ascii="Arial" w:eastAsia="Times New Roman" w:hAnsi="Arial" w:cs="Arial"/>
          <w:color w:val="222222"/>
          <w:sz w:val="20"/>
          <w:szCs w:val="20"/>
        </w:rPr>
        <w:t xml:space="preserve">the </w:t>
      </w:r>
      <w:r w:rsidR="006E5919">
        <w:rPr>
          <w:rFonts w:ascii="Arial" w:eastAsia="Times New Roman" w:hAnsi="Arial" w:cs="Arial"/>
          <w:color w:val="222222"/>
          <w:sz w:val="20"/>
          <w:szCs w:val="20"/>
        </w:rPr>
        <w:t>science</w:t>
      </w:r>
      <w:r w:rsidR="00DB3387">
        <w:rPr>
          <w:rFonts w:ascii="Arial" w:eastAsia="Times New Roman" w:hAnsi="Arial" w:cs="Arial"/>
          <w:color w:val="222222"/>
          <w:sz w:val="20"/>
          <w:szCs w:val="20"/>
        </w:rPr>
        <w:t xml:space="preserve"> proposed</w:t>
      </w:r>
      <w:r w:rsidR="003D2A15">
        <w:rPr>
          <w:rFonts w:ascii="Arial" w:eastAsia="Times New Roman" w:hAnsi="Arial" w:cs="Arial"/>
          <w:color w:val="222222"/>
          <w:sz w:val="20"/>
          <w:szCs w:val="20"/>
        </w:rPr>
        <w:t xml:space="preserve">.  </w:t>
      </w:r>
    </w:p>
    <w:p w14:paraId="246412AA" w14:textId="2F07E75B" w:rsidR="00141FA8" w:rsidRDefault="00141FA8" w:rsidP="008F46AF">
      <w:pPr>
        <w:spacing w:after="0" w:line="240" w:lineRule="auto"/>
        <w:rPr>
          <w:rFonts w:ascii="Arial" w:eastAsia="Times New Roman" w:hAnsi="Arial" w:cs="Arial"/>
          <w:color w:val="222222"/>
          <w:sz w:val="20"/>
          <w:szCs w:val="20"/>
        </w:rPr>
      </w:pPr>
    </w:p>
    <w:p w14:paraId="737561C8" w14:textId="73D477F1" w:rsidR="00F60D24" w:rsidRDefault="00F60D24" w:rsidP="008F46AF">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An adjustable knob of last resort may be</w:t>
      </w:r>
      <w:r w:rsidR="00072119">
        <w:rPr>
          <w:rFonts w:ascii="Arial" w:eastAsia="Times New Roman" w:hAnsi="Arial" w:cs="Arial"/>
          <w:color w:val="222222"/>
          <w:sz w:val="20"/>
          <w:szCs w:val="20"/>
        </w:rPr>
        <w:t xml:space="preserve"> reduction of the pool</w:t>
      </w:r>
      <w:r w:rsidR="002B78F3">
        <w:rPr>
          <w:rFonts w:ascii="Arial" w:eastAsia="Times New Roman" w:hAnsi="Arial" w:cs="Arial"/>
          <w:color w:val="222222"/>
          <w:sz w:val="20"/>
          <w:szCs w:val="20"/>
        </w:rPr>
        <w:t xml:space="preserve"> of </w:t>
      </w:r>
      <w:r w:rsidR="00113DA9">
        <w:rPr>
          <w:rFonts w:ascii="Arial" w:eastAsia="Times New Roman" w:hAnsi="Arial" w:cs="Arial"/>
          <w:color w:val="222222"/>
          <w:sz w:val="20"/>
          <w:szCs w:val="20"/>
        </w:rPr>
        <w:t>investigators</w:t>
      </w:r>
      <w:r w:rsidR="00072119">
        <w:rPr>
          <w:rFonts w:ascii="Arial" w:eastAsia="Times New Roman" w:hAnsi="Arial" w:cs="Arial"/>
          <w:color w:val="222222"/>
          <w:sz w:val="20"/>
          <w:szCs w:val="20"/>
        </w:rPr>
        <w:t>.  Indeed ample a</w:t>
      </w:r>
      <w:r w:rsidR="00155DB8">
        <w:rPr>
          <w:rFonts w:ascii="Arial" w:eastAsia="Times New Roman" w:hAnsi="Arial" w:cs="Arial"/>
          <w:color w:val="222222"/>
          <w:sz w:val="20"/>
          <w:szCs w:val="20"/>
        </w:rPr>
        <w:t xml:space="preserve">necdotal </w:t>
      </w:r>
      <w:r>
        <w:rPr>
          <w:rFonts w:ascii="Arial" w:eastAsia="Times New Roman" w:hAnsi="Arial" w:cs="Arial"/>
          <w:color w:val="222222"/>
          <w:sz w:val="20"/>
          <w:szCs w:val="20"/>
        </w:rPr>
        <w:t xml:space="preserve">evidence </w:t>
      </w:r>
      <w:r w:rsidR="0050689C">
        <w:rPr>
          <w:rFonts w:ascii="Arial" w:eastAsia="Times New Roman" w:hAnsi="Arial" w:cs="Arial"/>
          <w:color w:val="222222"/>
          <w:sz w:val="20"/>
          <w:szCs w:val="20"/>
        </w:rPr>
        <w:t xml:space="preserve">indicates </w:t>
      </w:r>
      <w:r>
        <w:rPr>
          <w:rFonts w:ascii="Arial" w:eastAsia="Times New Roman" w:hAnsi="Arial" w:cs="Arial"/>
          <w:color w:val="222222"/>
          <w:sz w:val="20"/>
          <w:szCs w:val="20"/>
        </w:rPr>
        <w:t>that</w:t>
      </w:r>
      <w:r w:rsidR="00155DB8">
        <w:rPr>
          <w:rFonts w:ascii="Arial" w:eastAsia="Times New Roman" w:hAnsi="Arial" w:cs="Arial"/>
          <w:color w:val="222222"/>
          <w:sz w:val="20"/>
          <w:szCs w:val="20"/>
        </w:rPr>
        <w:t xml:space="preserve"> researchers </w:t>
      </w:r>
      <w:r>
        <w:rPr>
          <w:rFonts w:ascii="Arial" w:eastAsia="Times New Roman" w:hAnsi="Arial" w:cs="Arial"/>
          <w:color w:val="222222"/>
          <w:sz w:val="20"/>
          <w:szCs w:val="20"/>
        </w:rPr>
        <w:t xml:space="preserve">are now </w:t>
      </w:r>
      <w:r w:rsidR="00155DB8">
        <w:rPr>
          <w:rFonts w:ascii="Arial" w:eastAsia="Times New Roman" w:hAnsi="Arial" w:cs="Arial"/>
          <w:color w:val="222222"/>
          <w:sz w:val="20"/>
          <w:szCs w:val="20"/>
        </w:rPr>
        <w:t>leaving the field at various career stages</w:t>
      </w:r>
      <w:r w:rsidR="0050689C">
        <w:rPr>
          <w:rFonts w:ascii="Arial" w:eastAsia="Times New Roman" w:hAnsi="Arial" w:cs="Arial"/>
          <w:color w:val="222222"/>
          <w:sz w:val="20"/>
          <w:szCs w:val="20"/>
        </w:rPr>
        <w:t>,</w:t>
      </w:r>
      <w:r w:rsidR="00155DB8">
        <w:rPr>
          <w:rFonts w:ascii="Arial" w:eastAsia="Times New Roman" w:hAnsi="Arial" w:cs="Arial"/>
          <w:color w:val="222222"/>
          <w:sz w:val="20"/>
          <w:szCs w:val="20"/>
        </w:rPr>
        <w:t xml:space="preserve"> or </w:t>
      </w:r>
      <w:r w:rsidR="00010495">
        <w:rPr>
          <w:rFonts w:ascii="Arial" w:eastAsia="Times New Roman" w:hAnsi="Arial" w:cs="Arial"/>
          <w:color w:val="222222"/>
          <w:sz w:val="20"/>
          <w:szCs w:val="20"/>
        </w:rPr>
        <w:t xml:space="preserve">leaving </w:t>
      </w:r>
      <w:r w:rsidR="00DB3387">
        <w:rPr>
          <w:rFonts w:ascii="Arial" w:eastAsia="Times New Roman" w:hAnsi="Arial" w:cs="Arial"/>
          <w:color w:val="222222"/>
          <w:sz w:val="20"/>
          <w:szCs w:val="20"/>
        </w:rPr>
        <w:t>the U</w:t>
      </w:r>
      <w:r w:rsidR="000323DF">
        <w:rPr>
          <w:rFonts w:ascii="Arial" w:eastAsia="Times New Roman" w:hAnsi="Arial" w:cs="Arial"/>
          <w:color w:val="222222"/>
          <w:sz w:val="20"/>
          <w:szCs w:val="20"/>
        </w:rPr>
        <w:t>.</w:t>
      </w:r>
      <w:r w:rsidR="00DB3387">
        <w:rPr>
          <w:rFonts w:ascii="Arial" w:eastAsia="Times New Roman" w:hAnsi="Arial" w:cs="Arial"/>
          <w:color w:val="222222"/>
          <w:sz w:val="20"/>
          <w:szCs w:val="20"/>
        </w:rPr>
        <w:t>S</w:t>
      </w:r>
      <w:r w:rsidR="000323DF">
        <w:rPr>
          <w:rFonts w:ascii="Arial" w:eastAsia="Times New Roman" w:hAnsi="Arial" w:cs="Arial"/>
          <w:color w:val="222222"/>
          <w:sz w:val="20"/>
          <w:szCs w:val="20"/>
        </w:rPr>
        <w:t>.</w:t>
      </w:r>
      <w:r w:rsidR="00DB3387">
        <w:rPr>
          <w:rFonts w:ascii="Arial" w:eastAsia="Times New Roman" w:hAnsi="Arial" w:cs="Arial"/>
          <w:color w:val="222222"/>
          <w:sz w:val="20"/>
          <w:szCs w:val="20"/>
        </w:rPr>
        <w:t xml:space="preserve"> </w:t>
      </w:r>
      <w:r w:rsidR="00010495">
        <w:rPr>
          <w:rFonts w:ascii="Arial" w:eastAsia="Times New Roman" w:hAnsi="Arial" w:cs="Arial"/>
          <w:color w:val="222222"/>
          <w:sz w:val="20"/>
          <w:szCs w:val="20"/>
        </w:rPr>
        <w:t xml:space="preserve">to </w:t>
      </w:r>
      <w:r w:rsidR="00155DB8">
        <w:rPr>
          <w:rFonts w:ascii="Arial" w:eastAsia="Times New Roman" w:hAnsi="Arial" w:cs="Arial"/>
          <w:color w:val="222222"/>
          <w:sz w:val="20"/>
          <w:szCs w:val="20"/>
        </w:rPr>
        <w:t>pursu</w:t>
      </w:r>
      <w:r w:rsidR="00010495">
        <w:rPr>
          <w:rFonts w:ascii="Arial" w:eastAsia="Times New Roman" w:hAnsi="Arial" w:cs="Arial"/>
          <w:color w:val="222222"/>
          <w:sz w:val="20"/>
          <w:szCs w:val="20"/>
        </w:rPr>
        <w:t>e</w:t>
      </w:r>
      <w:r w:rsidR="00155DB8">
        <w:rPr>
          <w:rFonts w:ascii="Arial" w:eastAsia="Times New Roman" w:hAnsi="Arial" w:cs="Arial"/>
          <w:color w:val="222222"/>
          <w:sz w:val="20"/>
          <w:szCs w:val="20"/>
        </w:rPr>
        <w:t xml:space="preserve"> their scientific careers in more promising funding environments abroad</w:t>
      </w:r>
      <w:r w:rsidR="000E5A15">
        <w:rPr>
          <w:rFonts w:ascii="Arial" w:eastAsia="Times New Roman" w:hAnsi="Arial" w:cs="Arial"/>
          <w:color w:val="222222"/>
          <w:sz w:val="20"/>
          <w:szCs w:val="20"/>
        </w:rPr>
        <w:t xml:space="preserve">. Thus, we </w:t>
      </w:r>
      <w:r w:rsidR="009D55B9">
        <w:rPr>
          <w:rFonts w:ascii="Arial" w:eastAsia="Times New Roman" w:hAnsi="Arial" w:cs="Arial"/>
          <w:color w:val="222222"/>
          <w:sz w:val="20"/>
          <w:szCs w:val="20"/>
        </w:rPr>
        <w:t>are already</w:t>
      </w:r>
      <w:r w:rsidR="0050689C">
        <w:rPr>
          <w:rFonts w:ascii="Arial" w:eastAsia="Times New Roman" w:hAnsi="Arial" w:cs="Arial"/>
          <w:color w:val="222222"/>
          <w:sz w:val="20"/>
          <w:szCs w:val="20"/>
        </w:rPr>
        <w:t xml:space="preserve"> </w:t>
      </w:r>
      <w:r w:rsidR="00DF064C">
        <w:rPr>
          <w:rFonts w:ascii="Arial" w:eastAsia="Times New Roman" w:hAnsi="Arial" w:cs="Arial"/>
          <w:color w:val="222222"/>
          <w:sz w:val="20"/>
          <w:szCs w:val="20"/>
        </w:rPr>
        <w:t>well on our way</w:t>
      </w:r>
      <w:r w:rsidR="00821247">
        <w:rPr>
          <w:rFonts w:ascii="Arial" w:eastAsia="Times New Roman" w:hAnsi="Arial" w:cs="Arial"/>
          <w:color w:val="222222"/>
          <w:sz w:val="20"/>
          <w:szCs w:val="20"/>
        </w:rPr>
        <w:t xml:space="preserve"> toward </w:t>
      </w:r>
      <w:r w:rsidR="000E5A15">
        <w:rPr>
          <w:rFonts w:ascii="Arial" w:eastAsia="Times New Roman" w:hAnsi="Arial" w:cs="Arial"/>
          <w:color w:val="222222"/>
          <w:sz w:val="20"/>
          <w:szCs w:val="20"/>
        </w:rPr>
        <w:t>limiting the growth of the U.S. astronomy community</w:t>
      </w:r>
      <w:r w:rsidR="009D55B9">
        <w:rPr>
          <w:rFonts w:ascii="Arial" w:eastAsia="Times New Roman" w:hAnsi="Arial" w:cs="Arial"/>
          <w:color w:val="222222"/>
          <w:sz w:val="20"/>
          <w:szCs w:val="20"/>
        </w:rPr>
        <w:t>, but in a</w:t>
      </w:r>
      <w:r w:rsidR="00DF064C">
        <w:rPr>
          <w:rFonts w:ascii="Arial" w:eastAsia="Times New Roman" w:hAnsi="Arial" w:cs="Arial"/>
          <w:color w:val="222222"/>
          <w:sz w:val="20"/>
          <w:szCs w:val="20"/>
        </w:rPr>
        <w:t xml:space="preserve">n uncontrolled manner that </w:t>
      </w:r>
      <w:r w:rsidR="00100DA8">
        <w:rPr>
          <w:rFonts w:ascii="Arial" w:eastAsia="Times New Roman" w:hAnsi="Arial" w:cs="Arial"/>
          <w:color w:val="222222"/>
          <w:sz w:val="20"/>
          <w:szCs w:val="20"/>
        </w:rPr>
        <w:t xml:space="preserve">wastes </w:t>
      </w:r>
      <w:r w:rsidR="00DF064C">
        <w:rPr>
          <w:rFonts w:ascii="Arial" w:eastAsia="Times New Roman" w:hAnsi="Arial" w:cs="Arial"/>
          <w:color w:val="222222"/>
          <w:sz w:val="20"/>
          <w:szCs w:val="20"/>
        </w:rPr>
        <w:t>resources</w:t>
      </w:r>
      <w:r w:rsidR="00100DA8">
        <w:rPr>
          <w:rFonts w:ascii="Arial" w:eastAsia="Times New Roman" w:hAnsi="Arial" w:cs="Arial"/>
          <w:color w:val="222222"/>
          <w:sz w:val="20"/>
          <w:szCs w:val="20"/>
        </w:rPr>
        <w:t>, depletes from our ranks the best and brightest thinkers, and risks losing</w:t>
      </w:r>
      <w:r w:rsidR="0050689C">
        <w:rPr>
          <w:rFonts w:ascii="Arial" w:eastAsia="Times New Roman" w:hAnsi="Arial" w:cs="Arial"/>
          <w:color w:val="222222"/>
          <w:sz w:val="20"/>
          <w:szCs w:val="20"/>
        </w:rPr>
        <w:t xml:space="preserve"> U</w:t>
      </w:r>
      <w:r w:rsidR="000323DF">
        <w:rPr>
          <w:rFonts w:ascii="Arial" w:eastAsia="Times New Roman" w:hAnsi="Arial" w:cs="Arial"/>
          <w:color w:val="222222"/>
          <w:sz w:val="20"/>
          <w:szCs w:val="20"/>
        </w:rPr>
        <w:t>.</w:t>
      </w:r>
      <w:r w:rsidR="0050689C">
        <w:rPr>
          <w:rFonts w:ascii="Arial" w:eastAsia="Times New Roman" w:hAnsi="Arial" w:cs="Arial"/>
          <w:color w:val="222222"/>
          <w:sz w:val="20"/>
          <w:szCs w:val="20"/>
        </w:rPr>
        <w:t>S</w:t>
      </w:r>
      <w:r w:rsidR="000323DF">
        <w:rPr>
          <w:rFonts w:ascii="Arial" w:eastAsia="Times New Roman" w:hAnsi="Arial" w:cs="Arial"/>
          <w:color w:val="222222"/>
          <w:sz w:val="20"/>
          <w:szCs w:val="20"/>
        </w:rPr>
        <w:t>.</w:t>
      </w:r>
      <w:r w:rsidR="0050689C">
        <w:rPr>
          <w:rFonts w:ascii="Arial" w:eastAsia="Times New Roman" w:hAnsi="Arial" w:cs="Arial"/>
          <w:color w:val="222222"/>
          <w:sz w:val="20"/>
          <w:szCs w:val="20"/>
        </w:rPr>
        <w:t xml:space="preserve"> leadership in the most crucial areas</w:t>
      </w:r>
      <w:r w:rsidR="00DF064C">
        <w:rPr>
          <w:rFonts w:ascii="Arial" w:eastAsia="Times New Roman" w:hAnsi="Arial" w:cs="Arial"/>
          <w:color w:val="222222"/>
          <w:sz w:val="20"/>
          <w:szCs w:val="20"/>
        </w:rPr>
        <w:t xml:space="preserve">. </w:t>
      </w:r>
    </w:p>
    <w:p w14:paraId="07FE7A81" w14:textId="77777777" w:rsidR="00F60D24" w:rsidRDefault="00F60D24" w:rsidP="008F46AF">
      <w:pPr>
        <w:spacing w:after="0" w:line="240" w:lineRule="auto"/>
        <w:rPr>
          <w:rFonts w:ascii="Arial" w:eastAsia="Times New Roman" w:hAnsi="Arial" w:cs="Arial"/>
          <w:color w:val="222222"/>
          <w:sz w:val="20"/>
          <w:szCs w:val="20"/>
        </w:rPr>
      </w:pPr>
    </w:p>
    <w:p w14:paraId="59E97C65" w14:textId="7C72C48D" w:rsidR="00DF064C" w:rsidRDefault="007922C4" w:rsidP="008F46AF">
      <w:pPr>
        <w:spacing w:after="0" w:line="240" w:lineRule="auto"/>
        <w:rPr>
          <w:rFonts w:ascii="Arial" w:eastAsia="Times New Roman" w:hAnsi="Arial" w:cs="Arial"/>
          <w:color w:val="222222"/>
          <w:sz w:val="20"/>
          <w:szCs w:val="20"/>
        </w:rPr>
      </w:pPr>
      <w:r>
        <w:rPr>
          <w:rFonts w:ascii="Arial" w:eastAsia="Times New Roman" w:hAnsi="Arial" w:cs="Arial"/>
          <w:sz w:val="20"/>
          <w:szCs w:val="20"/>
        </w:rPr>
        <w:t>In summary</w:t>
      </w:r>
      <w:r w:rsidR="00F60D24" w:rsidDel="00F60D24">
        <w:rPr>
          <w:rFonts w:ascii="Arial" w:eastAsia="Times New Roman" w:hAnsi="Arial" w:cs="Arial"/>
          <w:sz w:val="20"/>
          <w:szCs w:val="20"/>
        </w:rPr>
        <w:t xml:space="preserve">, both the low overall funding and the ever-increasing number of meritorious proposals (and scientists they represent) are creating an unsustainable tension. </w:t>
      </w:r>
      <w:r w:rsidR="00237084">
        <w:rPr>
          <w:rFonts w:ascii="Arial" w:eastAsia="Times New Roman" w:hAnsi="Arial" w:cs="Arial"/>
          <w:sz w:val="20"/>
          <w:szCs w:val="20"/>
        </w:rPr>
        <w:t xml:space="preserve">We are concerned that we have reached a tipping point where the health and vitality of the community cannot be sustained. </w:t>
      </w:r>
      <w:r w:rsidR="00DF064C">
        <w:rPr>
          <w:rFonts w:ascii="Arial" w:eastAsia="Times New Roman" w:hAnsi="Arial" w:cs="Arial"/>
          <w:color w:val="222222"/>
          <w:sz w:val="20"/>
          <w:szCs w:val="20"/>
        </w:rPr>
        <w:t xml:space="preserve">It is our hope that a data-driven response to these issues can enable the best science and preserve our leadership position in this most fundamental of sciences, even in these lean budgetary times. </w:t>
      </w:r>
      <w:r w:rsidR="00F60D24" w:rsidDel="00F60D24">
        <w:rPr>
          <w:rFonts w:ascii="Arial" w:eastAsia="Times New Roman" w:hAnsi="Arial" w:cs="Arial"/>
          <w:sz w:val="20"/>
          <w:szCs w:val="20"/>
        </w:rPr>
        <w:t xml:space="preserve">This grave situation </w:t>
      </w:r>
      <w:r w:rsidR="00F60D24" w:rsidRPr="0060748E" w:rsidDel="00F60D24">
        <w:rPr>
          <w:rFonts w:ascii="Arial" w:eastAsia="Times New Roman" w:hAnsi="Arial" w:cs="Arial"/>
          <w:sz w:val="20"/>
          <w:szCs w:val="20"/>
        </w:rPr>
        <w:t xml:space="preserve">warrants a fresh look at </w:t>
      </w:r>
      <w:r w:rsidR="00F60D24" w:rsidDel="00F60D24">
        <w:rPr>
          <w:rFonts w:ascii="Arial" w:eastAsia="Times New Roman" w:hAnsi="Arial" w:cs="Arial"/>
          <w:sz w:val="20"/>
          <w:szCs w:val="20"/>
        </w:rPr>
        <w:t>rebalanc</w:t>
      </w:r>
      <w:r w:rsidR="00237084">
        <w:rPr>
          <w:rFonts w:ascii="Arial" w:eastAsia="Times New Roman" w:hAnsi="Arial" w:cs="Arial"/>
          <w:sz w:val="20"/>
          <w:szCs w:val="20"/>
        </w:rPr>
        <w:t>ing</w:t>
      </w:r>
      <w:r w:rsidR="00F60D24" w:rsidDel="00F60D24">
        <w:rPr>
          <w:rFonts w:ascii="Arial" w:eastAsia="Times New Roman" w:hAnsi="Arial" w:cs="Arial"/>
          <w:sz w:val="20"/>
          <w:szCs w:val="20"/>
        </w:rPr>
        <w:t xml:space="preserve"> the portfolio and </w:t>
      </w:r>
      <w:r w:rsidR="00237084">
        <w:rPr>
          <w:rFonts w:ascii="Arial" w:eastAsia="Times New Roman" w:hAnsi="Arial" w:cs="Arial"/>
          <w:sz w:val="20"/>
          <w:szCs w:val="20"/>
        </w:rPr>
        <w:t>taking the necessary steps to</w:t>
      </w:r>
      <w:r w:rsidR="00F60D24" w:rsidDel="00F60D24">
        <w:rPr>
          <w:rFonts w:ascii="Arial" w:eastAsia="Times New Roman" w:hAnsi="Arial" w:cs="Arial"/>
          <w:sz w:val="20"/>
          <w:szCs w:val="20"/>
        </w:rPr>
        <w:t xml:space="preserve"> protect the grants programs</w:t>
      </w:r>
      <w:r w:rsidR="00F60D24">
        <w:rPr>
          <w:rFonts w:ascii="Arial" w:eastAsia="Times New Roman" w:hAnsi="Arial" w:cs="Arial"/>
          <w:sz w:val="20"/>
          <w:szCs w:val="20"/>
        </w:rPr>
        <w:t xml:space="preserve">. </w:t>
      </w:r>
    </w:p>
    <w:p w14:paraId="29830D10" w14:textId="582108E1" w:rsidR="00F818A4" w:rsidRDefault="00F818A4" w:rsidP="00E57FA2">
      <w:pPr>
        <w:shd w:val="clear" w:color="auto" w:fill="FFFFFF"/>
        <w:spacing w:after="0" w:line="240" w:lineRule="auto"/>
        <w:rPr>
          <w:rFonts w:ascii="Arial" w:eastAsia="Times New Roman" w:hAnsi="Arial" w:cs="Arial"/>
          <w:sz w:val="20"/>
          <w:szCs w:val="20"/>
        </w:rPr>
      </w:pPr>
    </w:p>
    <w:p w14:paraId="7239C6A8" w14:textId="3C9F5954" w:rsidR="00660B3E" w:rsidRPr="0004150C" w:rsidRDefault="006C7493" w:rsidP="00660B3E">
      <w:pPr>
        <w:shd w:val="clear" w:color="auto" w:fill="FFFFFF"/>
        <w:spacing w:after="0" w:line="240" w:lineRule="auto"/>
        <w:rPr>
          <w:rFonts w:ascii="Arial" w:eastAsia="Times New Roman" w:hAnsi="Arial" w:cs="Arial"/>
          <w:sz w:val="20"/>
          <w:szCs w:val="20"/>
        </w:rPr>
      </w:pPr>
      <w:r w:rsidRPr="006C7493">
        <w:rPr>
          <w:rFonts w:ascii="Arial" w:eastAsia="Times New Roman" w:hAnsi="Arial" w:cs="Arial"/>
          <w:b/>
          <w:sz w:val="20"/>
          <w:szCs w:val="20"/>
        </w:rPr>
        <w:t>Acknowledgements:</w:t>
      </w:r>
      <w:r>
        <w:rPr>
          <w:rFonts w:ascii="Arial" w:eastAsia="Times New Roman" w:hAnsi="Arial" w:cs="Arial"/>
          <w:sz w:val="20"/>
          <w:szCs w:val="20"/>
        </w:rPr>
        <w:t xml:space="preserve">  The NSF and NASA data presented in this report </w:t>
      </w:r>
      <w:r w:rsidR="00267D0A">
        <w:rPr>
          <w:rFonts w:ascii="Arial" w:eastAsia="Times New Roman" w:hAnsi="Arial" w:cs="Arial"/>
          <w:sz w:val="20"/>
          <w:szCs w:val="20"/>
        </w:rPr>
        <w:t xml:space="preserve">could not </w:t>
      </w:r>
      <w:r w:rsidR="00EF0FB0" w:rsidRPr="00EF0FB0">
        <w:rPr>
          <w:rFonts w:ascii="Arial" w:eastAsia="Times New Roman" w:hAnsi="Arial" w:cs="Arial"/>
          <w:sz w:val="20"/>
          <w:szCs w:val="20"/>
        </w:rPr>
        <w:t>have been assembled and analyzed in a useful and timely way without</w:t>
      </w:r>
      <w:r w:rsidR="00267D0A">
        <w:rPr>
          <w:rFonts w:ascii="Arial" w:eastAsia="Times New Roman" w:hAnsi="Arial" w:cs="Arial"/>
          <w:sz w:val="20"/>
          <w:szCs w:val="20"/>
        </w:rPr>
        <w:t xml:space="preserve"> the active involvement of </w:t>
      </w:r>
      <w:proofErr w:type="spellStart"/>
      <w:r w:rsidR="00660B3E">
        <w:rPr>
          <w:rFonts w:ascii="Arial" w:eastAsia="Times New Roman" w:hAnsi="Arial" w:cs="Arial"/>
          <w:sz w:val="20"/>
          <w:szCs w:val="20"/>
        </w:rPr>
        <w:t>Hashima</w:t>
      </w:r>
      <w:proofErr w:type="spellEnd"/>
      <w:r w:rsidR="00660B3E">
        <w:rPr>
          <w:rFonts w:ascii="Arial" w:eastAsia="Times New Roman" w:hAnsi="Arial" w:cs="Arial"/>
          <w:sz w:val="20"/>
          <w:szCs w:val="20"/>
        </w:rPr>
        <w:t xml:space="preserve"> </w:t>
      </w:r>
      <w:proofErr w:type="spellStart"/>
      <w:r w:rsidR="00660B3E">
        <w:rPr>
          <w:rFonts w:ascii="Arial" w:eastAsia="Times New Roman" w:hAnsi="Arial" w:cs="Arial"/>
          <w:sz w:val="20"/>
          <w:szCs w:val="20"/>
        </w:rPr>
        <w:t>Hasan</w:t>
      </w:r>
      <w:proofErr w:type="spellEnd"/>
      <w:r w:rsidR="00660B3E">
        <w:rPr>
          <w:rFonts w:ascii="Arial" w:eastAsia="Times New Roman" w:hAnsi="Arial" w:cs="Arial"/>
          <w:sz w:val="20"/>
          <w:szCs w:val="20"/>
        </w:rPr>
        <w:t xml:space="preserve">, Linda </w:t>
      </w:r>
      <w:proofErr w:type="spellStart"/>
      <w:r w:rsidR="00660B3E">
        <w:rPr>
          <w:rFonts w:ascii="Arial" w:eastAsia="Times New Roman" w:hAnsi="Arial" w:cs="Arial"/>
          <w:sz w:val="20"/>
          <w:szCs w:val="20"/>
        </w:rPr>
        <w:t>Sparke</w:t>
      </w:r>
      <w:proofErr w:type="spellEnd"/>
      <w:r w:rsidR="00660B3E">
        <w:rPr>
          <w:rFonts w:ascii="Arial" w:eastAsia="Times New Roman" w:hAnsi="Arial" w:cs="Arial"/>
          <w:sz w:val="20"/>
          <w:szCs w:val="20"/>
        </w:rPr>
        <w:t xml:space="preserve">, Daniel Evans, </w:t>
      </w:r>
      <w:proofErr w:type="spellStart"/>
      <w:r w:rsidR="00660B3E">
        <w:rPr>
          <w:rFonts w:ascii="Arial" w:eastAsia="Times New Roman" w:hAnsi="Arial" w:cs="Arial"/>
          <w:sz w:val="20"/>
          <w:szCs w:val="20"/>
        </w:rPr>
        <w:t>Arik</w:t>
      </w:r>
      <w:proofErr w:type="spellEnd"/>
      <w:r w:rsidR="00660B3E">
        <w:rPr>
          <w:rFonts w:ascii="Arial" w:eastAsia="Times New Roman" w:hAnsi="Arial" w:cs="Arial"/>
          <w:sz w:val="20"/>
          <w:szCs w:val="20"/>
        </w:rPr>
        <w:t xml:space="preserve"> Posner, Jonathan </w:t>
      </w:r>
      <w:proofErr w:type="spellStart"/>
      <w:r w:rsidR="00660B3E">
        <w:rPr>
          <w:rFonts w:ascii="Arial" w:eastAsia="Times New Roman" w:hAnsi="Arial" w:cs="Arial"/>
          <w:sz w:val="20"/>
          <w:szCs w:val="20"/>
        </w:rPr>
        <w:t>Rall</w:t>
      </w:r>
      <w:proofErr w:type="spellEnd"/>
      <w:r w:rsidR="00660B3E">
        <w:rPr>
          <w:rFonts w:ascii="Arial" w:eastAsia="Times New Roman" w:hAnsi="Arial" w:cs="Arial"/>
          <w:sz w:val="20"/>
          <w:szCs w:val="20"/>
        </w:rPr>
        <w:t xml:space="preserve">, Jim </w:t>
      </w:r>
      <w:proofErr w:type="spellStart"/>
      <w:r w:rsidR="00660B3E">
        <w:rPr>
          <w:rFonts w:ascii="Arial" w:eastAsia="Times New Roman" w:hAnsi="Arial" w:cs="Arial"/>
          <w:sz w:val="20"/>
          <w:szCs w:val="20"/>
        </w:rPr>
        <w:t>Ulvestad</w:t>
      </w:r>
      <w:proofErr w:type="spellEnd"/>
      <w:r w:rsidR="00660B3E">
        <w:rPr>
          <w:rFonts w:ascii="Arial" w:eastAsia="Times New Roman" w:hAnsi="Arial" w:cs="Arial"/>
          <w:sz w:val="20"/>
          <w:szCs w:val="20"/>
        </w:rPr>
        <w:t xml:space="preserve">, </w:t>
      </w:r>
      <w:r w:rsidR="00B948ED">
        <w:rPr>
          <w:rFonts w:ascii="Arial" w:eastAsia="Times New Roman" w:hAnsi="Arial" w:cs="Arial"/>
          <w:sz w:val="20"/>
          <w:szCs w:val="20"/>
        </w:rPr>
        <w:t xml:space="preserve">Jim Whitmore, </w:t>
      </w:r>
      <w:r w:rsidR="00335770">
        <w:rPr>
          <w:rFonts w:ascii="Arial" w:eastAsia="Times New Roman" w:hAnsi="Arial" w:cs="Arial"/>
          <w:sz w:val="20"/>
          <w:szCs w:val="20"/>
        </w:rPr>
        <w:t xml:space="preserve">and Paul Hertz. </w:t>
      </w:r>
      <w:r w:rsidR="00660B3E">
        <w:rPr>
          <w:rFonts w:ascii="Arial" w:eastAsia="Times New Roman" w:hAnsi="Arial" w:cs="Arial"/>
          <w:sz w:val="20"/>
          <w:szCs w:val="20"/>
        </w:rPr>
        <w:t xml:space="preserve"> </w:t>
      </w:r>
      <w:r w:rsidR="00335770">
        <w:rPr>
          <w:rFonts w:ascii="Arial" w:eastAsia="Times New Roman" w:hAnsi="Arial" w:cs="Arial"/>
          <w:sz w:val="20"/>
          <w:szCs w:val="20"/>
        </w:rPr>
        <w:t xml:space="preserve">We gratefully acknowledge </w:t>
      </w:r>
      <w:r w:rsidR="00267D0A">
        <w:rPr>
          <w:rFonts w:ascii="Arial" w:eastAsia="Times New Roman" w:hAnsi="Arial" w:cs="Arial"/>
          <w:sz w:val="20"/>
          <w:szCs w:val="20"/>
        </w:rPr>
        <w:t xml:space="preserve">their help </w:t>
      </w:r>
      <w:r w:rsidR="00335770">
        <w:rPr>
          <w:rFonts w:ascii="Arial" w:eastAsia="Times New Roman" w:hAnsi="Arial" w:cs="Arial"/>
          <w:sz w:val="20"/>
          <w:szCs w:val="20"/>
        </w:rPr>
        <w:t xml:space="preserve">and encouragement. </w:t>
      </w:r>
    </w:p>
    <w:p w14:paraId="4414EFA1" w14:textId="77777777" w:rsidR="00660B3E" w:rsidRPr="0004150C" w:rsidRDefault="00660B3E" w:rsidP="00E57FA2">
      <w:pPr>
        <w:shd w:val="clear" w:color="auto" w:fill="FFFFFF"/>
        <w:spacing w:after="0" w:line="240" w:lineRule="auto"/>
        <w:rPr>
          <w:rFonts w:ascii="Arial" w:eastAsia="Times New Roman" w:hAnsi="Arial" w:cs="Arial"/>
          <w:sz w:val="20"/>
          <w:szCs w:val="20"/>
        </w:rPr>
      </w:pPr>
    </w:p>
    <w:sectPr w:rsidR="00660B3E" w:rsidRPr="0004150C" w:rsidSect="009657E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DC7E7" w14:textId="77777777" w:rsidR="008056CF" w:rsidRDefault="008056CF" w:rsidP="00CF420F">
      <w:pPr>
        <w:spacing w:after="0" w:line="240" w:lineRule="auto"/>
      </w:pPr>
      <w:r>
        <w:separator/>
      </w:r>
    </w:p>
  </w:endnote>
  <w:endnote w:type="continuationSeparator" w:id="0">
    <w:p w14:paraId="3F8971CE" w14:textId="77777777" w:rsidR="008056CF" w:rsidRDefault="008056CF" w:rsidP="00CF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AF929" w14:textId="77777777" w:rsidR="0091345D" w:rsidRDefault="009134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74241527"/>
      <w:docPartObj>
        <w:docPartGallery w:val="Page Numbers (Bottom of Page)"/>
        <w:docPartUnique/>
      </w:docPartObj>
    </w:sdtPr>
    <w:sdtEndPr/>
    <w:sdtContent>
      <w:p w14:paraId="3CDF065B" w14:textId="77777777" w:rsidR="00B2157E" w:rsidRPr="00163D15" w:rsidRDefault="00B2157E" w:rsidP="00163D15">
        <w:pPr>
          <w:pStyle w:val="Footer"/>
          <w:jc w:val="center"/>
          <w:rPr>
            <w:rFonts w:ascii="Arial" w:hAnsi="Arial" w:cs="Arial"/>
            <w:sz w:val="20"/>
            <w:szCs w:val="20"/>
          </w:rPr>
        </w:pPr>
        <w:r w:rsidRPr="00163D15">
          <w:rPr>
            <w:rFonts w:ascii="Arial" w:hAnsi="Arial" w:cs="Arial"/>
            <w:sz w:val="20"/>
            <w:szCs w:val="20"/>
          </w:rPr>
          <w:fldChar w:fldCharType="begin"/>
        </w:r>
        <w:r w:rsidRPr="00163D15">
          <w:rPr>
            <w:rFonts w:ascii="Arial" w:hAnsi="Arial" w:cs="Arial"/>
            <w:sz w:val="20"/>
            <w:szCs w:val="20"/>
          </w:rPr>
          <w:instrText xml:space="preserve"> PAGE   \* MERGEFORMAT </w:instrText>
        </w:r>
        <w:r w:rsidRPr="00163D15">
          <w:rPr>
            <w:rFonts w:ascii="Arial" w:hAnsi="Arial" w:cs="Arial"/>
            <w:sz w:val="20"/>
            <w:szCs w:val="20"/>
          </w:rPr>
          <w:fldChar w:fldCharType="separate"/>
        </w:r>
        <w:r w:rsidR="0091345D">
          <w:rPr>
            <w:rFonts w:ascii="Arial" w:hAnsi="Arial" w:cs="Arial"/>
            <w:noProof/>
            <w:sz w:val="20"/>
            <w:szCs w:val="20"/>
          </w:rPr>
          <w:t>8</w:t>
        </w:r>
        <w:r w:rsidRPr="00163D15">
          <w:rPr>
            <w:rFonts w:ascii="Arial" w:hAnsi="Arial" w:cs="Arial"/>
            <w:sz w:val="20"/>
            <w:szCs w:val="20"/>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FE9B" w14:textId="77777777" w:rsidR="0091345D" w:rsidRDefault="009134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5DC07" w14:textId="77777777" w:rsidR="008056CF" w:rsidRDefault="008056CF" w:rsidP="00CF420F">
      <w:pPr>
        <w:spacing w:after="0" w:line="240" w:lineRule="auto"/>
      </w:pPr>
      <w:r>
        <w:separator/>
      </w:r>
    </w:p>
  </w:footnote>
  <w:footnote w:type="continuationSeparator" w:id="0">
    <w:p w14:paraId="4764753B" w14:textId="77777777" w:rsidR="008056CF" w:rsidRDefault="008056CF" w:rsidP="00CF420F">
      <w:pPr>
        <w:spacing w:after="0" w:line="240" w:lineRule="auto"/>
      </w:pPr>
      <w:r>
        <w:continuationSeparator/>
      </w:r>
    </w:p>
  </w:footnote>
  <w:footnote w:id="1">
    <w:p w14:paraId="7749DD36" w14:textId="77777777" w:rsidR="00B2157E" w:rsidRDefault="00B2157E">
      <w:pPr>
        <w:pStyle w:val="FootnoteText"/>
      </w:pPr>
      <w:r>
        <w:rPr>
          <w:rStyle w:val="FootnoteReference"/>
        </w:rPr>
        <w:footnoteRef/>
      </w:r>
      <w:r>
        <w:t xml:space="preserve"> </w:t>
      </w:r>
      <w:hyperlink r:id="rId1" w:history="1">
        <w:r w:rsidRPr="009B1A6A">
          <w:rPr>
            <w:rStyle w:val="Hyperlink"/>
          </w:rPr>
          <w:t>http://www.nsf.gov/mps/ast/aaac/reports/annual/aaac_2014_report.pdf</w:t>
        </w:r>
      </w:hyperlink>
      <w:r>
        <w:t xml:space="preserve"> </w:t>
      </w:r>
    </w:p>
  </w:footnote>
  <w:footnote w:id="2">
    <w:p w14:paraId="67B858CD" w14:textId="77777777" w:rsidR="00B2157E" w:rsidRDefault="00B2157E">
      <w:pPr>
        <w:pStyle w:val="FootnoteText"/>
      </w:pPr>
      <w:r>
        <w:rPr>
          <w:rStyle w:val="FootnoteReference"/>
        </w:rPr>
        <w:footnoteRef/>
      </w:r>
      <w:r>
        <w:t xml:space="preserve"> </w:t>
      </w:r>
      <w:hyperlink r:id="rId2" w:history="1">
        <w:r w:rsidRPr="00EE167A">
          <w:rPr>
            <w:rStyle w:val="Hyperlink"/>
          </w:rPr>
          <w:t>http://www.nsf.gov/mps/ast/aaac/reports/annual/aaac_2015_report.pdf</w:t>
        </w:r>
      </w:hyperlink>
    </w:p>
  </w:footnote>
  <w:footnote w:id="3">
    <w:p w14:paraId="263397CD" w14:textId="0D8301C2" w:rsidR="00B2157E" w:rsidRDefault="00B2157E">
      <w:pPr>
        <w:pStyle w:val="FootnoteText"/>
      </w:pPr>
      <w:r>
        <w:rPr>
          <w:rStyle w:val="FootnoteReference"/>
        </w:rPr>
        <w:footnoteRef/>
      </w:r>
      <w:r>
        <w:t xml:space="preserve"> </w:t>
      </w:r>
      <w:proofErr w:type="gramStart"/>
      <w:r>
        <w:t>von</w:t>
      </w:r>
      <w:proofErr w:type="gramEnd"/>
      <w:r>
        <w:t xml:space="preserve"> </w:t>
      </w:r>
      <w:proofErr w:type="spellStart"/>
      <w:r>
        <w:t>Hippel</w:t>
      </w:r>
      <w:proofErr w:type="spellEnd"/>
      <w:r>
        <w:t xml:space="preserve"> and von </w:t>
      </w:r>
      <w:proofErr w:type="spellStart"/>
      <w:r>
        <w:t>Hippel</w:t>
      </w:r>
      <w:proofErr w:type="spellEnd"/>
      <w:r>
        <w:t xml:space="preserve"> (2015)</w:t>
      </w:r>
      <w:r w:rsidR="002B78F3">
        <w:t xml:space="preserve">: </w:t>
      </w:r>
      <w:r>
        <w:t xml:space="preserve"> </w:t>
      </w:r>
      <w:hyperlink r:id="rId3" w:history="1">
        <w:r w:rsidRPr="00EE167A">
          <w:rPr>
            <w:rStyle w:val="Hyperlink"/>
          </w:rPr>
          <w:t>http://journals.plos.org/plosone/article?id=10.1371/journal.pone.0118494</w:t>
        </w:r>
      </w:hyperlink>
    </w:p>
  </w:footnote>
  <w:footnote w:id="4">
    <w:p w14:paraId="5F583618" w14:textId="63F11A51" w:rsidR="00B2157E" w:rsidRDefault="00B2157E">
      <w:pPr>
        <w:pStyle w:val="FootnoteText"/>
      </w:pPr>
      <w:r>
        <w:rPr>
          <w:rStyle w:val="FootnoteReference"/>
        </w:rPr>
        <w:footnoteRef/>
      </w:r>
      <w:r>
        <w:t xml:space="preserve"> </w:t>
      </w:r>
      <w:hyperlink r:id="rId4" w:history="1">
        <w:r w:rsidRPr="001F2C21">
          <w:rPr>
            <w:rStyle w:val="Hyperlink"/>
          </w:rPr>
          <w:t>http://science.nasa.gov/media/medialibrary/2015/01/07/AAS_Townhall_Hertz_Jan2015_FINAL.pdf</w:t>
        </w:r>
      </w:hyperlink>
    </w:p>
  </w:footnote>
  <w:footnote w:id="5">
    <w:p w14:paraId="694A3F43" w14:textId="77777777" w:rsidR="00B2157E" w:rsidRDefault="00B2157E" w:rsidP="00391347">
      <w:pPr>
        <w:pStyle w:val="FootnoteText"/>
      </w:pPr>
      <w:r>
        <w:rPr>
          <w:rStyle w:val="FootnoteReference"/>
        </w:rPr>
        <w:footnoteRef/>
      </w:r>
      <w:r w:rsidRPr="00161E07">
        <w:t xml:space="preserve"> </w:t>
      </w:r>
      <w:hyperlink r:id="rId5" w:history="1">
        <w:r w:rsidRPr="00161E07">
          <w:rPr>
            <w:rStyle w:val="Hyperlink"/>
          </w:rPr>
          <w:t>http://science.nasa.gov/researchers/sara/division-corner/heliophysics-division-corner/</w:t>
        </w:r>
      </w:hyperlink>
    </w:p>
  </w:footnote>
  <w:footnote w:id="6">
    <w:p w14:paraId="36DF5D94" w14:textId="77777777" w:rsidR="00B2157E" w:rsidRDefault="00B2157E" w:rsidP="00603E75">
      <w:pPr>
        <w:pStyle w:val="FootnoteText"/>
      </w:pPr>
      <w:r>
        <w:rPr>
          <w:rStyle w:val="FootnoteReference"/>
        </w:rPr>
        <w:footnoteRef/>
      </w:r>
      <w:r>
        <w:t xml:space="preserve"> </w:t>
      </w:r>
      <w:hyperlink r:id="rId6" w:history="1">
        <w:r w:rsidRPr="00EB40C1">
          <w:rPr>
            <w:rStyle w:val="Hyperlink"/>
          </w:rPr>
          <w:t>http://www.nsf.gov/attachments/131083/public/Dan-Evans_AST_Individual_Investigator_Programs-AAAC_Meeting.pdf</w:t>
        </w:r>
      </w:hyperlink>
      <w:r>
        <w:t xml:space="preserve"> </w:t>
      </w:r>
    </w:p>
  </w:footnote>
  <w:footnote w:id="7">
    <w:p w14:paraId="2C9BAA02" w14:textId="77777777" w:rsidR="00B2157E" w:rsidRDefault="00B2157E">
      <w:pPr>
        <w:pStyle w:val="FootnoteText"/>
      </w:pPr>
      <w:r>
        <w:rPr>
          <w:rStyle w:val="FootnoteReference"/>
        </w:rPr>
        <w:footnoteRef/>
      </w:r>
      <w:r>
        <w:t xml:space="preserve"> </w:t>
      </w:r>
      <w:hyperlink r:id="rId7" w:history="1">
        <w:r w:rsidRPr="00956C7E">
          <w:rPr>
            <w:rStyle w:val="Hyperlink"/>
          </w:rPr>
          <w:t>http://science.nasa.gov/researchers/sara/grant-stats/a-plot-of-grades-vs-who-gets-selected/</w:t>
        </w:r>
      </w:hyperlink>
    </w:p>
  </w:footnote>
  <w:footnote w:id="8">
    <w:p w14:paraId="6AD5D3A9" w14:textId="77777777" w:rsidR="00B2157E" w:rsidRDefault="00B2157E">
      <w:pPr>
        <w:pStyle w:val="FootnoteText"/>
      </w:pPr>
      <w:r>
        <w:rPr>
          <w:rStyle w:val="FootnoteReference"/>
        </w:rPr>
        <w:footnoteRef/>
      </w:r>
      <w:r>
        <w:t xml:space="preserve"> </w:t>
      </w:r>
      <w:hyperlink r:id="rId8" w:history="1">
        <w:r w:rsidRPr="00EB40C1">
          <w:rPr>
            <w:rStyle w:val="Hyperlink"/>
          </w:rPr>
          <w:t>http://science.nasa.gov/media/medialibrary/2014/04/09/2014.03.27_ApS_RA_final-2.pdf</w:t>
        </w:r>
      </w:hyperlink>
      <w:r>
        <w:t xml:space="preserve"> </w:t>
      </w:r>
    </w:p>
  </w:footnote>
  <w:footnote w:id="9">
    <w:p w14:paraId="2825D86E" w14:textId="77777777" w:rsidR="00B2157E" w:rsidRDefault="00B2157E" w:rsidP="001A7D45">
      <w:pPr>
        <w:pStyle w:val="FootnoteText"/>
      </w:pPr>
      <w:r>
        <w:rPr>
          <w:rStyle w:val="FootnoteReference"/>
        </w:rPr>
        <w:footnoteRef/>
      </w:r>
      <w:r>
        <w:t xml:space="preserve"> NSF/PHY Program in Particle Astrophysics data. Provided by J. Whitmore.</w:t>
      </w:r>
    </w:p>
  </w:footnote>
  <w:footnote w:id="10">
    <w:p w14:paraId="5373947B" w14:textId="745A57D4" w:rsidR="00B2157E" w:rsidRDefault="00B2157E">
      <w:pPr>
        <w:pStyle w:val="FootnoteText"/>
      </w:pPr>
      <w:r>
        <w:rPr>
          <w:rStyle w:val="FootnoteReference"/>
        </w:rPr>
        <w:footnoteRef/>
      </w:r>
      <w:r>
        <w:t xml:space="preserve"> </w:t>
      </w:r>
      <w:r w:rsidRPr="003C2958">
        <w:t xml:space="preserve">  Merton, R.K. 1968, Science, 159, 56.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98E5" w14:textId="5ABAB7D3" w:rsidR="0091345D" w:rsidRDefault="009134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A59A" w14:textId="028C4835" w:rsidR="0091345D" w:rsidRDefault="0091345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F2D93" w14:textId="482AF7B1" w:rsidR="0091345D" w:rsidRDefault="009134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10C"/>
    <w:multiLevelType w:val="hybridMultilevel"/>
    <w:tmpl w:val="A6E4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B62F9"/>
    <w:multiLevelType w:val="hybridMultilevel"/>
    <w:tmpl w:val="D29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EC"/>
    <w:rsid w:val="00000994"/>
    <w:rsid w:val="00004503"/>
    <w:rsid w:val="00010495"/>
    <w:rsid w:val="000105CB"/>
    <w:rsid w:val="00017CF0"/>
    <w:rsid w:val="00020E5C"/>
    <w:rsid w:val="000240D6"/>
    <w:rsid w:val="00024EDE"/>
    <w:rsid w:val="000323DF"/>
    <w:rsid w:val="000402F6"/>
    <w:rsid w:val="0004150C"/>
    <w:rsid w:val="00043806"/>
    <w:rsid w:val="00043B99"/>
    <w:rsid w:val="00044F25"/>
    <w:rsid w:val="0005756C"/>
    <w:rsid w:val="00061262"/>
    <w:rsid w:val="000613EE"/>
    <w:rsid w:val="0006711B"/>
    <w:rsid w:val="00067A91"/>
    <w:rsid w:val="00072119"/>
    <w:rsid w:val="0007582B"/>
    <w:rsid w:val="000812D9"/>
    <w:rsid w:val="00081350"/>
    <w:rsid w:val="00083DEF"/>
    <w:rsid w:val="00085399"/>
    <w:rsid w:val="00092DEF"/>
    <w:rsid w:val="00092F44"/>
    <w:rsid w:val="00096BB1"/>
    <w:rsid w:val="00097E46"/>
    <w:rsid w:val="000A766A"/>
    <w:rsid w:val="000B5D59"/>
    <w:rsid w:val="000B622C"/>
    <w:rsid w:val="000B6CE6"/>
    <w:rsid w:val="000B7112"/>
    <w:rsid w:val="000C4E55"/>
    <w:rsid w:val="000D5EF0"/>
    <w:rsid w:val="000E54FE"/>
    <w:rsid w:val="000E5A15"/>
    <w:rsid w:val="000E6612"/>
    <w:rsid w:val="000E6E93"/>
    <w:rsid w:val="000E70F6"/>
    <w:rsid w:val="000E768F"/>
    <w:rsid w:val="000F051D"/>
    <w:rsid w:val="000F1EC8"/>
    <w:rsid w:val="000F730B"/>
    <w:rsid w:val="00100DA8"/>
    <w:rsid w:val="00107795"/>
    <w:rsid w:val="001102AB"/>
    <w:rsid w:val="00112126"/>
    <w:rsid w:val="00112812"/>
    <w:rsid w:val="00113401"/>
    <w:rsid w:val="00113DA9"/>
    <w:rsid w:val="00120D2B"/>
    <w:rsid w:val="00121953"/>
    <w:rsid w:val="001264C4"/>
    <w:rsid w:val="00130D8F"/>
    <w:rsid w:val="00134B29"/>
    <w:rsid w:val="00141FA8"/>
    <w:rsid w:val="00147AB5"/>
    <w:rsid w:val="00153566"/>
    <w:rsid w:val="00153FB3"/>
    <w:rsid w:val="00155DB8"/>
    <w:rsid w:val="00156300"/>
    <w:rsid w:val="001605D0"/>
    <w:rsid w:val="0016346F"/>
    <w:rsid w:val="00163D15"/>
    <w:rsid w:val="001644DB"/>
    <w:rsid w:val="001777D8"/>
    <w:rsid w:val="001801CF"/>
    <w:rsid w:val="001818A2"/>
    <w:rsid w:val="001837DF"/>
    <w:rsid w:val="00186C39"/>
    <w:rsid w:val="00192A73"/>
    <w:rsid w:val="00192EBA"/>
    <w:rsid w:val="001935EC"/>
    <w:rsid w:val="00195B93"/>
    <w:rsid w:val="0019653B"/>
    <w:rsid w:val="001A342F"/>
    <w:rsid w:val="001A7D45"/>
    <w:rsid w:val="001C1E58"/>
    <w:rsid w:val="001C760B"/>
    <w:rsid w:val="001D39AC"/>
    <w:rsid w:val="001E12EB"/>
    <w:rsid w:val="001E16F3"/>
    <w:rsid w:val="001E5FFC"/>
    <w:rsid w:val="001E7458"/>
    <w:rsid w:val="001F5F27"/>
    <w:rsid w:val="001F69DC"/>
    <w:rsid w:val="00200D6C"/>
    <w:rsid w:val="0020142F"/>
    <w:rsid w:val="00203860"/>
    <w:rsid w:val="00210BE4"/>
    <w:rsid w:val="00216C92"/>
    <w:rsid w:val="00231708"/>
    <w:rsid w:val="00231DB0"/>
    <w:rsid w:val="002346BB"/>
    <w:rsid w:val="00235E27"/>
    <w:rsid w:val="00237084"/>
    <w:rsid w:val="002379E9"/>
    <w:rsid w:val="00242201"/>
    <w:rsid w:val="002460A3"/>
    <w:rsid w:val="00251A6D"/>
    <w:rsid w:val="00265BB9"/>
    <w:rsid w:val="00267D0A"/>
    <w:rsid w:val="00273700"/>
    <w:rsid w:val="002809CB"/>
    <w:rsid w:val="002844B3"/>
    <w:rsid w:val="00284BAF"/>
    <w:rsid w:val="00291A6A"/>
    <w:rsid w:val="002A2550"/>
    <w:rsid w:val="002B1B2D"/>
    <w:rsid w:val="002B424D"/>
    <w:rsid w:val="002B5557"/>
    <w:rsid w:val="002B78F3"/>
    <w:rsid w:val="002D442D"/>
    <w:rsid w:val="002D4F54"/>
    <w:rsid w:val="002D79DC"/>
    <w:rsid w:val="002E4FF4"/>
    <w:rsid w:val="002E5141"/>
    <w:rsid w:val="002E5677"/>
    <w:rsid w:val="002E6612"/>
    <w:rsid w:val="002E6B88"/>
    <w:rsid w:val="002E7100"/>
    <w:rsid w:val="00300E41"/>
    <w:rsid w:val="00302638"/>
    <w:rsid w:val="00304ED7"/>
    <w:rsid w:val="00305820"/>
    <w:rsid w:val="00306819"/>
    <w:rsid w:val="003071FC"/>
    <w:rsid w:val="00312F31"/>
    <w:rsid w:val="00317DE5"/>
    <w:rsid w:val="003245D7"/>
    <w:rsid w:val="00324ED0"/>
    <w:rsid w:val="003306B1"/>
    <w:rsid w:val="0033079F"/>
    <w:rsid w:val="00331972"/>
    <w:rsid w:val="00335770"/>
    <w:rsid w:val="00335826"/>
    <w:rsid w:val="00337052"/>
    <w:rsid w:val="003457E3"/>
    <w:rsid w:val="003479C4"/>
    <w:rsid w:val="00356373"/>
    <w:rsid w:val="00362545"/>
    <w:rsid w:val="0036301C"/>
    <w:rsid w:val="00363ADF"/>
    <w:rsid w:val="00371B35"/>
    <w:rsid w:val="00373121"/>
    <w:rsid w:val="00382FDB"/>
    <w:rsid w:val="00391347"/>
    <w:rsid w:val="003915CB"/>
    <w:rsid w:val="003921E7"/>
    <w:rsid w:val="003A1B62"/>
    <w:rsid w:val="003A514D"/>
    <w:rsid w:val="003A5EDE"/>
    <w:rsid w:val="003B10E0"/>
    <w:rsid w:val="003B1EF7"/>
    <w:rsid w:val="003C2958"/>
    <w:rsid w:val="003D2A15"/>
    <w:rsid w:val="003D6ACC"/>
    <w:rsid w:val="003E2EB2"/>
    <w:rsid w:val="003E6A3E"/>
    <w:rsid w:val="003F05F8"/>
    <w:rsid w:val="003F6FB4"/>
    <w:rsid w:val="00410007"/>
    <w:rsid w:val="00413B1C"/>
    <w:rsid w:val="00416E81"/>
    <w:rsid w:val="00420CBE"/>
    <w:rsid w:val="004215FF"/>
    <w:rsid w:val="00422398"/>
    <w:rsid w:val="004363BF"/>
    <w:rsid w:val="004414EA"/>
    <w:rsid w:val="0044677C"/>
    <w:rsid w:val="004523E0"/>
    <w:rsid w:val="00463957"/>
    <w:rsid w:val="00464319"/>
    <w:rsid w:val="00464845"/>
    <w:rsid w:val="0047098C"/>
    <w:rsid w:val="0048087B"/>
    <w:rsid w:val="0048198F"/>
    <w:rsid w:val="00484783"/>
    <w:rsid w:val="004931F2"/>
    <w:rsid w:val="004938ED"/>
    <w:rsid w:val="004A2CD6"/>
    <w:rsid w:val="004A529B"/>
    <w:rsid w:val="004A72A4"/>
    <w:rsid w:val="004B1C2B"/>
    <w:rsid w:val="004B299C"/>
    <w:rsid w:val="004B6584"/>
    <w:rsid w:val="004B6993"/>
    <w:rsid w:val="004C1B7A"/>
    <w:rsid w:val="004C1D01"/>
    <w:rsid w:val="004E1518"/>
    <w:rsid w:val="004E1F10"/>
    <w:rsid w:val="004E299D"/>
    <w:rsid w:val="004E634D"/>
    <w:rsid w:val="004F0F89"/>
    <w:rsid w:val="004F13D7"/>
    <w:rsid w:val="004F7155"/>
    <w:rsid w:val="004F7D76"/>
    <w:rsid w:val="00500585"/>
    <w:rsid w:val="0050221F"/>
    <w:rsid w:val="005043EB"/>
    <w:rsid w:val="0050689C"/>
    <w:rsid w:val="00506B53"/>
    <w:rsid w:val="00507F1F"/>
    <w:rsid w:val="00511F92"/>
    <w:rsid w:val="005133BC"/>
    <w:rsid w:val="00520474"/>
    <w:rsid w:val="00526B08"/>
    <w:rsid w:val="0053431A"/>
    <w:rsid w:val="005406C9"/>
    <w:rsid w:val="005410B5"/>
    <w:rsid w:val="005420DF"/>
    <w:rsid w:val="0055118C"/>
    <w:rsid w:val="005626A1"/>
    <w:rsid w:val="00564868"/>
    <w:rsid w:val="00567759"/>
    <w:rsid w:val="00570EE9"/>
    <w:rsid w:val="00572980"/>
    <w:rsid w:val="005808EF"/>
    <w:rsid w:val="0058126F"/>
    <w:rsid w:val="00587161"/>
    <w:rsid w:val="00587557"/>
    <w:rsid w:val="00587DB9"/>
    <w:rsid w:val="005A02FE"/>
    <w:rsid w:val="005A4848"/>
    <w:rsid w:val="005A5F9A"/>
    <w:rsid w:val="005A7549"/>
    <w:rsid w:val="005B5EC4"/>
    <w:rsid w:val="005B7A9E"/>
    <w:rsid w:val="005C305C"/>
    <w:rsid w:val="005C4205"/>
    <w:rsid w:val="005C5FEC"/>
    <w:rsid w:val="005D5BDD"/>
    <w:rsid w:val="005E0134"/>
    <w:rsid w:val="005E3198"/>
    <w:rsid w:val="005E5BDD"/>
    <w:rsid w:val="005E71B0"/>
    <w:rsid w:val="005F0FFB"/>
    <w:rsid w:val="00603E75"/>
    <w:rsid w:val="0060748E"/>
    <w:rsid w:val="00617CDA"/>
    <w:rsid w:val="006209DE"/>
    <w:rsid w:val="00626DF9"/>
    <w:rsid w:val="00627CBE"/>
    <w:rsid w:val="00631C82"/>
    <w:rsid w:val="00632A82"/>
    <w:rsid w:val="00633E6D"/>
    <w:rsid w:val="006342CB"/>
    <w:rsid w:val="00635CAF"/>
    <w:rsid w:val="0063634B"/>
    <w:rsid w:val="00642FA3"/>
    <w:rsid w:val="00644535"/>
    <w:rsid w:val="006470B7"/>
    <w:rsid w:val="00650D97"/>
    <w:rsid w:val="00650F0E"/>
    <w:rsid w:val="00652C42"/>
    <w:rsid w:val="006546C5"/>
    <w:rsid w:val="00655958"/>
    <w:rsid w:val="00660B3E"/>
    <w:rsid w:val="006617A2"/>
    <w:rsid w:val="00662472"/>
    <w:rsid w:val="00665ED3"/>
    <w:rsid w:val="00666BB0"/>
    <w:rsid w:val="00670FDC"/>
    <w:rsid w:val="006721E2"/>
    <w:rsid w:val="006738A0"/>
    <w:rsid w:val="006745E2"/>
    <w:rsid w:val="00680C55"/>
    <w:rsid w:val="00691548"/>
    <w:rsid w:val="0069169C"/>
    <w:rsid w:val="0069490E"/>
    <w:rsid w:val="006A1993"/>
    <w:rsid w:val="006A1F77"/>
    <w:rsid w:val="006A2E56"/>
    <w:rsid w:val="006A3866"/>
    <w:rsid w:val="006A78A7"/>
    <w:rsid w:val="006B7732"/>
    <w:rsid w:val="006C4930"/>
    <w:rsid w:val="006C53AC"/>
    <w:rsid w:val="006C7493"/>
    <w:rsid w:val="006D18FC"/>
    <w:rsid w:val="006D6A9C"/>
    <w:rsid w:val="006E13D6"/>
    <w:rsid w:val="006E3567"/>
    <w:rsid w:val="006E5919"/>
    <w:rsid w:val="006E60E6"/>
    <w:rsid w:val="006E7BFD"/>
    <w:rsid w:val="006F1C0A"/>
    <w:rsid w:val="006F1DED"/>
    <w:rsid w:val="006F374E"/>
    <w:rsid w:val="006F5E78"/>
    <w:rsid w:val="00702FE6"/>
    <w:rsid w:val="00705FE4"/>
    <w:rsid w:val="00707CFD"/>
    <w:rsid w:val="0071190B"/>
    <w:rsid w:val="00713038"/>
    <w:rsid w:val="00716439"/>
    <w:rsid w:val="0072778A"/>
    <w:rsid w:val="007318B0"/>
    <w:rsid w:val="00733BC4"/>
    <w:rsid w:val="00735060"/>
    <w:rsid w:val="0073645E"/>
    <w:rsid w:val="00737096"/>
    <w:rsid w:val="007375F2"/>
    <w:rsid w:val="00737AB8"/>
    <w:rsid w:val="00741193"/>
    <w:rsid w:val="00741BB4"/>
    <w:rsid w:val="00750779"/>
    <w:rsid w:val="00755D64"/>
    <w:rsid w:val="00760D10"/>
    <w:rsid w:val="00761413"/>
    <w:rsid w:val="00771143"/>
    <w:rsid w:val="00781CA4"/>
    <w:rsid w:val="00784748"/>
    <w:rsid w:val="0078579C"/>
    <w:rsid w:val="00786386"/>
    <w:rsid w:val="00787500"/>
    <w:rsid w:val="007922C4"/>
    <w:rsid w:val="007A53AA"/>
    <w:rsid w:val="007A5536"/>
    <w:rsid w:val="007B182B"/>
    <w:rsid w:val="007B2734"/>
    <w:rsid w:val="007B4887"/>
    <w:rsid w:val="007B4A9A"/>
    <w:rsid w:val="007C1CB3"/>
    <w:rsid w:val="007C61CF"/>
    <w:rsid w:val="007C6B33"/>
    <w:rsid w:val="007D0161"/>
    <w:rsid w:val="007D0396"/>
    <w:rsid w:val="007D4B3F"/>
    <w:rsid w:val="007E342D"/>
    <w:rsid w:val="007E6AAB"/>
    <w:rsid w:val="007E6E92"/>
    <w:rsid w:val="007F0356"/>
    <w:rsid w:val="007F73B6"/>
    <w:rsid w:val="00801016"/>
    <w:rsid w:val="008056CF"/>
    <w:rsid w:val="0081161E"/>
    <w:rsid w:val="0081293F"/>
    <w:rsid w:val="00812B60"/>
    <w:rsid w:val="00813E23"/>
    <w:rsid w:val="00816BF9"/>
    <w:rsid w:val="0082117B"/>
    <w:rsid w:val="00821247"/>
    <w:rsid w:val="0083069F"/>
    <w:rsid w:val="0083184D"/>
    <w:rsid w:val="00831D55"/>
    <w:rsid w:val="00832403"/>
    <w:rsid w:val="00832D0A"/>
    <w:rsid w:val="00840B26"/>
    <w:rsid w:val="008453BC"/>
    <w:rsid w:val="00851D25"/>
    <w:rsid w:val="008526AD"/>
    <w:rsid w:val="0085419D"/>
    <w:rsid w:val="00856719"/>
    <w:rsid w:val="0086618B"/>
    <w:rsid w:val="008675F8"/>
    <w:rsid w:val="0087067F"/>
    <w:rsid w:val="00874255"/>
    <w:rsid w:val="00880879"/>
    <w:rsid w:val="00881155"/>
    <w:rsid w:val="00885DFB"/>
    <w:rsid w:val="00896412"/>
    <w:rsid w:val="008A11D4"/>
    <w:rsid w:val="008B2900"/>
    <w:rsid w:val="008B6689"/>
    <w:rsid w:val="008C6929"/>
    <w:rsid w:val="008C7486"/>
    <w:rsid w:val="008C7926"/>
    <w:rsid w:val="008D6E9F"/>
    <w:rsid w:val="008D773D"/>
    <w:rsid w:val="008D7B9A"/>
    <w:rsid w:val="008E0A8E"/>
    <w:rsid w:val="008E0B5A"/>
    <w:rsid w:val="008E3115"/>
    <w:rsid w:val="008E58CE"/>
    <w:rsid w:val="008E703C"/>
    <w:rsid w:val="008F0420"/>
    <w:rsid w:val="008F1B2C"/>
    <w:rsid w:val="008F4147"/>
    <w:rsid w:val="008F46AF"/>
    <w:rsid w:val="008F75D3"/>
    <w:rsid w:val="009031E8"/>
    <w:rsid w:val="00904F31"/>
    <w:rsid w:val="0090643F"/>
    <w:rsid w:val="00911234"/>
    <w:rsid w:val="0091345D"/>
    <w:rsid w:val="00915C46"/>
    <w:rsid w:val="009165EB"/>
    <w:rsid w:val="00917D33"/>
    <w:rsid w:val="00920F11"/>
    <w:rsid w:val="00926DA5"/>
    <w:rsid w:val="00933FFB"/>
    <w:rsid w:val="00935280"/>
    <w:rsid w:val="00936C13"/>
    <w:rsid w:val="00943802"/>
    <w:rsid w:val="00944EDB"/>
    <w:rsid w:val="00955DA7"/>
    <w:rsid w:val="009569A5"/>
    <w:rsid w:val="00956C7E"/>
    <w:rsid w:val="009610F9"/>
    <w:rsid w:val="00961255"/>
    <w:rsid w:val="00961E91"/>
    <w:rsid w:val="00961EBE"/>
    <w:rsid w:val="00962337"/>
    <w:rsid w:val="009657E8"/>
    <w:rsid w:val="00967E20"/>
    <w:rsid w:val="00973DCC"/>
    <w:rsid w:val="009767D7"/>
    <w:rsid w:val="009834C8"/>
    <w:rsid w:val="0099416B"/>
    <w:rsid w:val="00996953"/>
    <w:rsid w:val="0099728E"/>
    <w:rsid w:val="009A3146"/>
    <w:rsid w:val="009A3D49"/>
    <w:rsid w:val="009C3735"/>
    <w:rsid w:val="009D39BC"/>
    <w:rsid w:val="009D43DB"/>
    <w:rsid w:val="009D55B9"/>
    <w:rsid w:val="009D7BCA"/>
    <w:rsid w:val="009E104A"/>
    <w:rsid w:val="009E1C4F"/>
    <w:rsid w:val="009F07B7"/>
    <w:rsid w:val="009F7999"/>
    <w:rsid w:val="00A0112F"/>
    <w:rsid w:val="00A1204D"/>
    <w:rsid w:val="00A201FD"/>
    <w:rsid w:val="00A27995"/>
    <w:rsid w:val="00A31447"/>
    <w:rsid w:val="00A3426F"/>
    <w:rsid w:val="00A35F65"/>
    <w:rsid w:val="00A37A9B"/>
    <w:rsid w:val="00A468F0"/>
    <w:rsid w:val="00A46B82"/>
    <w:rsid w:val="00A47BC4"/>
    <w:rsid w:val="00A501CF"/>
    <w:rsid w:val="00A536FC"/>
    <w:rsid w:val="00A633B4"/>
    <w:rsid w:val="00A6622B"/>
    <w:rsid w:val="00A778BD"/>
    <w:rsid w:val="00A83787"/>
    <w:rsid w:val="00A912A3"/>
    <w:rsid w:val="00A958A6"/>
    <w:rsid w:val="00A95AB6"/>
    <w:rsid w:val="00A95EE8"/>
    <w:rsid w:val="00A96B40"/>
    <w:rsid w:val="00AA468F"/>
    <w:rsid w:val="00AA541F"/>
    <w:rsid w:val="00AC6E8A"/>
    <w:rsid w:val="00AD4754"/>
    <w:rsid w:val="00AD5CDC"/>
    <w:rsid w:val="00AE2ABD"/>
    <w:rsid w:val="00AE3270"/>
    <w:rsid w:val="00AE4E0C"/>
    <w:rsid w:val="00AE5D69"/>
    <w:rsid w:val="00AF0DEE"/>
    <w:rsid w:val="00AF14A7"/>
    <w:rsid w:val="00AF2D3D"/>
    <w:rsid w:val="00AF4A6A"/>
    <w:rsid w:val="00AF5FD6"/>
    <w:rsid w:val="00AF7D05"/>
    <w:rsid w:val="00B00D46"/>
    <w:rsid w:val="00B04FA0"/>
    <w:rsid w:val="00B11AF7"/>
    <w:rsid w:val="00B144FA"/>
    <w:rsid w:val="00B2157E"/>
    <w:rsid w:val="00B24C16"/>
    <w:rsid w:val="00B251BF"/>
    <w:rsid w:val="00B34742"/>
    <w:rsid w:val="00B34788"/>
    <w:rsid w:val="00B379DD"/>
    <w:rsid w:val="00B41D05"/>
    <w:rsid w:val="00B51E16"/>
    <w:rsid w:val="00B51E42"/>
    <w:rsid w:val="00B52E89"/>
    <w:rsid w:val="00B576AE"/>
    <w:rsid w:val="00B67F59"/>
    <w:rsid w:val="00B70497"/>
    <w:rsid w:val="00B71935"/>
    <w:rsid w:val="00B7212F"/>
    <w:rsid w:val="00B72CE2"/>
    <w:rsid w:val="00B74E3C"/>
    <w:rsid w:val="00B81E5D"/>
    <w:rsid w:val="00B8269A"/>
    <w:rsid w:val="00B83E84"/>
    <w:rsid w:val="00B85A6D"/>
    <w:rsid w:val="00B90D45"/>
    <w:rsid w:val="00B912FD"/>
    <w:rsid w:val="00B91BAE"/>
    <w:rsid w:val="00B948ED"/>
    <w:rsid w:val="00B954B8"/>
    <w:rsid w:val="00BA148D"/>
    <w:rsid w:val="00BA1904"/>
    <w:rsid w:val="00BA6E50"/>
    <w:rsid w:val="00BB0A3C"/>
    <w:rsid w:val="00BB19F3"/>
    <w:rsid w:val="00BB39DD"/>
    <w:rsid w:val="00BB4A48"/>
    <w:rsid w:val="00BC1161"/>
    <w:rsid w:val="00BC3320"/>
    <w:rsid w:val="00BD54A0"/>
    <w:rsid w:val="00BD726F"/>
    <w:rsid w:val="00BE0BDF"/>
    <w:rsid w:val="00BE21F8"/>
    <w:rsid w:val="00BE2815"/>
    <w:rsid w:val="00BE3659"/>
    <w:rsid w:val="00BF56B3"/>
    <w:rsid w:val="00C06499"/>
    <w:rsid w:val="00C175FB"/>
    <w:rsid w:val="00C25430"/>
    <w:rsid w:val="00C3425F"/>
    <w:rsid w:val="00C34909"/>
    <w:rsid w:val="00C40204"/>
    <w:rsid w:val="00C5105F"/>
    <w:rsid w:val="00C57C2F"/>
    <w:rsid w:val="00C63537"/>
    <w:rsid w:val="00C63809"/>
    <w:rsid w:val="00C7014A"/>
    <w:rsid w:val="00C7209E"/>
    <w:rsid w:val="00C72691"/>
    <w:rsid w:val="00C805F7"/>
    <w:rsid w:val="00C80E6B"/>
    <w:rsid w:val="00C8409A"/>
    <w:rsid w:val="00C84B51"/>
    <w:rsid w:val="00C87C8A"/>
    <w:rsid w:val="00C9376F"/>
    <w:rsid w:val="00C9486E"/>
    <w:rsid w:val="00CA1552"/>
    <w:rsid w:val="00CA3A89"/>
    <w:rsid w:val="00CA478D"/>
    <w:rsid w:val="00CA7BCC"/>
    <w:rsid w:val="00CB199A"/>
    <w:rsid w:val="00CB6559"/>
    <w:rsid w:val="00CB7113"/>
    <w:rsid w:val="00CB7F93"/>
    <w:rsid w:val="00CC2AF4"/>
    <w:rsid w:val="00CC3BF7"/>
    <w:rsid w:val="00CD09C4"/>
    <w:rsid w:val="00CE3FED"/>
    <w:rsid w:val="00CF087C"/>
    <w:rsid w:val="00CF1947"/>
    <w:rsid w:val="00CF420F"/>
    <w:rsid w:val="00CF46E7"/>
    <w:rsid w:val="00CF52FC"/>
    <w:rsid w:val="00CF5444"/>
    <w:rsid w:val="00CF654B"/>
    <w:rsid w:val="00CF7C4C"/>
    <w:rsid w:val="00D041BB"/>
    <w:rsid w:val="00D05988"/>
    <w:rsid w:val="00D145A9"/>
    <w:rsid w:val="00D20DE9"/>
    <w:rsid w:val="00D2148C"/>
    <w:rsid w:val="00D22A17"/>
    <w:rsid w:val="00D22C65"/>
    <w:rsid w:val="00D233E7"/>
    <w:rsid w:val="00D241DF"/>
    <w:rsid w:val="00D40639"/>
    <w:rsid w:val="00D44893"/>
    <w:rsid w:val="00D46CDF"/>
    <w:rsid w:val="00D63674"/>
    <w:rsid w:val="00D642A0"/>
    <w:rsid w:val="00D73588"/>
    <w:rsid w:val="00D759FB"/>
    <w:rsid w:val="00D75CE5"/>
    <w:rsid w:val="00D80E42"/>
    <w:rsid w:val="00D85B56"/>
    <w:rsid w:val="00D933E9"/>
    <w:rsid w:val="00D9496A"/>
    <w:rsid w:val="00D96394"/>
    <w:rsid w:val="00DA28ED"/>
    <w:rsid w:val="00DA623E"/>
    <w:rsid w:val="00DB2F62"/>
    <w:rsid w:val="00DB3387"/>
    <w:rsid w:val="00DB45EC"/>
    <w:rsid w:val="00DC3C5A"/>
    <w:rsid w:val="00DC6C5D"/>
    <w:rsid w:val="00DD709A"/>
    <w:rsid w:val="00DE0D53"/>
    <w:rsid w:val="00DE79E2"/>
    <w:rsid w:val="00DF064C"/>
    <w:rsid w:val="00DF20AF"/>
    <w:rsid w:val="00DF4F3E"/>
    <w:rsid w:val="00E027A4"/>
    <w:rsid w:val="00E027AD"/>
    <w:rsid w:val="00E03463"/>
    <w:rsid w:val="00E03B2A"/>
    <w:rsid w:val="00E06029"/>
    <w:rsid w:val="00E11B83"/>
    <w:rsid w:val="00E12EA9"/>
    <w:rsid w:val="00E27A6A"/>
    <w:rsid w:val="00E43D8B"/>
    <w:rsid w:val="00E469B5"/>
    <w:rsid w:val="00E5318E"/>
    <w:rsid w:val="00E54741"/>
    <w:rsid w:val="00E57646"/>
    <w:rsid w:val="00E57FA2"/>
    <w:rsid w:val="00E6213A"/>
    <w:rsid w:val="00E654FB"/>
    <w:rsid w:val="00E6575C"/>
    <w:rsid w:val="00E669F5"/>
    <w:rsid w:val="00E674A5"/>
    <w:rsid w:val="00E7228A"/>
    <w:rsid w:val="00E7459B"/>
    <w:rsid w:val="00E80906"/>
    <w:rsid w:val="00E82934"/>
    <w:rsid w:val="00E847F7"/>
    <w:rsid w:val="00E84BD9"/>
    <w:rsid w:val="00E852ED"/>
    <w:rsid w:val="00E970AC"/>
    <w:rsid w:val="00E97F42"/>
    <w:rsid w:val="00EA37AE"/>
    <w:rsid w:val="00EC02DB"/>
    <w:rsid w:val="00EC4268"/>
    <w:rsid w:val="00EC4755"/>
    <w:rsid w:val="00EC5A28"/>
    <w:rsid w:val="00EC6943"/>
    <w:rsid w:val="00ED78CA"/>
    <w:rsid w:val="00EE1A75"/>
    <w:rsid w:val="00EE42A9"/>
    <w:rsid w:val="00EE4C36"/>
    <w:rsid w:val="00EE7C59"/>
    <w:rsid w:val="00EF0FB0"/>
    <w:rsid w:val="00EF43FB"/>
    <w:rsid w:val="00EF4EE0"/>
    <w:rsid w:val="00EF69C3"/>
    <w:rsid w:val="00F00EE4"/>
    <w:rsid w:val="00F03B89"/>
    <w:rsid w:val="00F1134F"/>
    <w:rsid w:val="00F1142F"/>
    <w:rsid w:val="00F2694E"/>
    <w:rsid w:val="00F34625"/>
    <w:rsid w:val="00F44201"/>
    <w:rsid w:val="00F51580"/>
    <w:rsid w:val="00F54490"/>
    <w:rsid w:val="00F55C11"/>
    <w:rsid w:val="00F56803"/>
    <w:rsid w:val="00F606C7"/>
    <w:rsid w:val="00F60D24"/>
    <w:rsid w:val="00F64ABB"/>
    <w:rsid w:val="00F662FF"/>
    <w:rsid w:val="00F67241"/>
    <w:rsid w:val="00F74AA5"/>
    <w:rsid w:val="00F77B35"/>
    <w:rsid w:val="00F818A4"/>
    <w:rsid w:val="00F865D3"/>
    <w:rsid w:val="00F90AD3"/>
    <w:rsid w:val="00F925D7"/>
    <w:rsid w:val="00F94118"/>
    <w:rsid w:val="00FA7E1F"/>
    <w:rsid w:val="00FA7E34"/>
    <w:rsid w:val="00FB49D8"/>
    <w:rsid w:val="00FB659D"/>
    <w:rsid w:val="00FB74B9"/>
    <w:rsid w:val="00FC329B"/>
    <w:rsid w:val="00FC4217"/>
    <w:rsid w:val="00FC581C"/>
    <w:rsid w:val="00FC5A80"/>
    <w:rsid w:val="00FC723D"/>
    <w:rsid w:val="00FD5B30"/>
    <w:rsid w:val="00FD7688"/>
    <w:rsid w:val="00FD7750"/>
    <w:rsid w:val="00FE060C"/>
    <w:rsid w:val="00FE2BEA"/>
    <w:rsid w:val="00FE3916"/>
    <w:rsid w:val="00FE4ADA"/>
    <w:rsid w:val="00FE7416"/>
    <w:rsid w:val="00FF26AF"/>
    <w:rsid w:val="00FF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25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FEC"/>
  </w:style>
  <w:style w:type="paragraph" w:styleId="ListParagraph">
    <w:name w:val="List Paragraph"/>
    <w:basedOn w:val="Normal"/>
    <w:uiPriority w:val="34"/>
    <w:qFormat/>
    <w:rsid w:val="00FE060C"/>
    <w:pPr>
      <w:ind w:left="720"/>
      <w:contextualSpacing/>
    </w:pPr>
  </w:style>
  <w:style w:type="character" w:styleId="CommentReference">
    <w:name w:val="annotation reference"/>
    <w:basedOn w:val="DefaultParagraphFont"/>
    <w:uiPriority w:val="99"/>
    <w:semiHidden/>
    <w:unhideWhenUsed/>
    <w:rsid w:val="00896412"/>
    <w:rPr>
      <w:sz w:val="16"/>
      <w:szCs w:val="16"/>
    </w:rPr>
  </w:style>
  <w:style w:type="paragraph" w:styleId="CommentText">
    <w:name w:val="annotation text"/>
    <w:basedOn w:val="Normal"/>
    <w:link w:val="CommentTextChar"/>
    <w:uiPriority w:val="99"/>
    <w:semiHidden/>
    <w:unhideWhenUsed/>
    <w:rsid w:val="00896412"/>
    <w:pPr>
      <w:spacing w:line="240" w:lineRule="auto"/>
    </w:pPr>
    <w:rPr>
      <w:sz w:val="20"/>
      <w:szCs w:val="20"/>
    </w:rPr>
  </w:style>
  <w:style w:type="character" w:customStyle="1" w:styleId="CommentTextChar">
    <w:name w:val="Comment Text Char"/>
    <w:basedOn w:val="DefaultParagraphFont"/>
    <w:link w:val="CommentText"/>
    <w:uiPriority w:val="99"/>
    <w:semiHidden/>
    <w:rsid w:val="00896412"/>
    <w:rPr>
      <w:sz w:val="20"/>
      <w:szCs w:val="20"/>
    </w:rPr>
  </w:style>
  <w:style w:type="paragraph" w:styleId="CommentSubject">
    <w:name w:val="annotation subject"/>
    <w:basedOn w:val="CommentText"/>
    <w:next w:val="CommentText"/>
    <w:link w:val="CommentSubjectChar"/>
    <w:uiPriority w:val="99"/>
    <w:semiHidden/>
    <w:unhideWhenUsed/>
    <w:rsid w:val="00896412"/>
    <w:rPr>
      <w:b/>
      <w:bCs/>
    </w:rPr>
  </w:style>
  <w:style w:type="character" w:customStyle="1" w:styleId="CommentSubjectChar">
    <w:name w:val="Comment Subject Char"/>
    <w:basedOn w:val="CommentTextChar"/>
    <w:link w:val="CommentSubject"/>
    <w:uiPriority w:val="99"/>
    <w:semiHidden/>
    <w:rsid w:val="00896412"/>
    <w:rPr>
      <w:b/>
      <w:bCs/>
      <w:sz w:val="20"/>
      <w:szCs w:val="20"/>
    </w:rPr>
  </w:style>
  <w:style w:type="paragraph" w:styleId="BalloonText">
    <w:name w:val="Balloon Text"/>
    <w:basedOn w:val="Normal"/>
    <w:link w:val="BalloonTextChar"/>
    <w:uiPriority w:val="99"/>
    <w:semiHidden/>
    <w:unhideWhenUsed/>
    <w:rsid w:val="0089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12"/>
    <w:rPr>
      <w:rFonts w:ascii="Tahoma" w:hAnsi="Tahoma" w:cs="Tahoma"/>
      <w:sz w:val="16"/>
      <w:szCs w:val="16"/>
    </w:rPr>
  </w:style>
  <w:style w:type="paragraph" w:styleId="FootnoteText">
    <w:name w:val="footnote text"/>
    <w:basedOn w:val="Normal"/>
    <w:link w:val="FootnoteTextChar"/>
    <w:uiPriority w:val="99"/>
    <w:unhideWhenUsed/>
    <w:rsid w:val="00CF420F"/>
    <w:pPr>
      <w:spacing w:after="0" w:line="240" w:lineRule="auto"/>
    </w:pPr>
    <w:rPr>
      <w:sz w:val="20"/>
      <w:szCs w:val="20"/>
    </w:rPr>
  </w:style>
  <w:style w:type="character" w:customStyle="1" w:styleId="FootnoteTextChar">
    <w:name w:val="Footnote Text Char"/>
    <w:basedOn w:val="DefaultParagraphFont"/>
    <w:link w:val="FootnoteText"/>
    <w:uiPriority w:val="99"/>
    <w:rsid w:val="00CF420F"/>
    <w:rPr>
      <w:sz w:val="20"/>
      <w:szCs w:val="20"/>
    </w:rPr>
  </w:style>
  <w:style w:type="character" w:styleId="FootnoteReference">
    <w:name w:val="footnote reference"/>
    <w:basedOn w:val="DefaultParagraphFont"/>
    <w:uiPriority w:val="99"/>
    <w:unhideWhenUsed/>
    <w:rsid w:val="00CF420F"/>
    <w:rPr>
      <w:vertAlign w:val="superscript"/>
    </w:rPr>
  </w:style>
  <w:style w:type="character" w:styleId="Hyperlink">
    <w:name w:val="Hyperlink"/>
    <w:basedOn w:val="DefaultParagraphFont"/>
    <w:uiPriority w:val="99"/>
    <w:unhideWhenUsed/>
    <w:rsid w:val="00CF420F"/>
    <w:rPr>
      <w:color w:val="0000FF" w:themeColor="hyperlink"/>
      <w:u w:val="single"/>
    </w:rPr>
  </w:style>
  <w:style w:type="character" w:styleId="FollowedHyperlink">
    <w:name w:val="FollowedHyperlink"/>
    <w:basedOn w:val="DefaultParagraphFont"/>
    <w:uiPriority w:val="99"/>
    <w:semiHidden/>
    <w:unhideWhenUsed/>
    <w:rsid w:val="00CF420F"/>
    <w:rPr>
      <w:color w:val="800080" w:themeColor="followedHyperlink"/>
      <w:u w:val="single"/>
    </w:rPr>
  </w:style>
  <w:style w:type="table" w:styleId="TableGrid">
    <w:name w:val="Table Grid"/>
    <w:basedOn w:val="TableNormal"/>
    <w:uiPriority w:val="59"/>
    <w:rsid w:val="00B85A6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15"/>
  </w:style>
  <w:style w:type="paragraph" w:styleId="Footer">
    <w:name w:val="footer"/>
    <w:basedOn w:val="Normal"/>
    <w:link w:val="FooterChar"/>
    <w:uiPriority w:val="99"/>
    <w:unhideWhenUsed/>
    <w:rsid w:val="0016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15"/>
  </w:style>
  <w:style w:type="paragraph" w:styleId="Revision">
    <w:name w:val="Revision"/>
    <w:hidden/>
    <w:uiPriority w:val="99"/>
    <w:semiHidden/>
    <w:rsid w:val="008E703C"/>
    <w:pPr>
      <w:spacing w:after="0" w:line="240" w:lineRule="auto"/>
    </w:pPr>
  </w:style>
  <w:style w:type="table" w:styleId="LightShading">
    <w:name w:val="Light Shading"/>
    <w:basedOn w:val="TableNormal"/>
    <w:uiPriority w:val="60"/>
    <w:rsid w:val="00FD5B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D5B3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D5B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D5B3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FD5B3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3">
    <w:name w:val="Medium Shading 2 Accent 3"/>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FD5B3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
    <w:name w:val="Medium Grid 1"/>
    <w:basedOn w:val="TableNormal"/>
    <w:uiPriority w:val="67"/>
    <w:rsid w:val="00FD5B3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D5B3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4">
    <w:name w:val="Medium Shading 2 Accent 4"/>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FD5B3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2">
    <w:name w:val="Colorful List Accent 2"/>
    <w:basedOn w:val="TableNormal"/>
    <w:uiPriority w:val="72"/>
    <w:rsid w:val="00FD5B3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DarkList-Accent6">
    <w:name w:val="Dark List Accent 6"/>
    <w:basedOn w:val="TableNormal"/>
    <w:uiPriority w:val="70"/>
    <w:rsid w:val="00FD5B3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FD5B3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FEC"/>
  </w:style>
  <w:style w:type="paragraph" w:styleId="ListParagraph">
    <w:name w:val="List Paragraph"/>
    <w:basedOn w:val="Normal"/>
    <w:uiPriority w:val="34"/>
    <w:qFormat/>
    <w:rsid w:val="00FE060C"/>
    <w:pPr>
      <w:ind w:left="720"/>
      <w:contextualSpacing/>
    </w:pPr>
  </w:style>
  <w:style w:type="character" w:styleId="CommentReference">
    <w:name w:val="annotation reference"/>
    <w:basedOn w:val="DefaultParagraphFont"/>
    <w:uiPriority w:val="99"/>
    <w:semiHidden/>
    <w:unhideWhenUsed/>
    <w:rsid w:val="00896412"/>
    <w:rPr>
      <w:sz w:val="16"/>
      <w:szCs w:val="16"/>
    </w:rPr>
  </w:style>
  <w:style w:type="paragraph" w:styleId="CommentText">
    <w:name w:val="annotation text"/>
    <w:basedOn w:val="Normal"/>
    <w:link w:val="CommentTextChar"/>
    <w:uiPriority w:val="99"/>
    <w:semiHidden/>
    <w:unhideWhenUsed/>
    <w:rsid w:val="00896412"/>
    <w:pPr>
      <w:spacing w:line="240" w:lineRule="auto"/>
    </w:pPr>
    <w:rPr>
      <w:sz w:val="20"/>
      <w:szCs w:val="20"/>
    </w:rPr>
  </w:style>
  <w:style w:type="character" w:customStyle="1" w:styleId="CommentTextChar">
    <w:name w:val="Comment Text Char"/>
    <w:basedOn w:val="DefaultParagraphFont"/>
    <w:link w:val="CommentText"/>
    <w:uiPriority w:val="99"/>
    <w:semiHidden/>
    <w:rsid w:val="00896412"/>
    <w:rPr>
      <w:sz w:val="20"/>
      <w:szCs w:val="20"/>
    </w:rPr>
  </w:style>
  <w:style w:type="paragraph" w:styleId="CommentSubject">
    <w:name w:val="annotation subject"/>
    <w:basedOn w:val="CommentText"/>
    <w:next w:val="CommentText"/>
    <w:link w:val="CommentSubjectChar"/>
    <w:uiPriority w:val="99"/>
    <w:semiHidden/>
    <w:unhideWhenUsed/>
    <w:rsid w:val="00896412"/>
    <w:rPr>
      <w:b/>
      <w:bCs/>
    </w:rPr>
  </w:style>
  <w:style w:type="character" w:customStyle="1" w:styleId="CommentSubjectChar">
    <w:name w:val="Comment Subject Char"/>
    <w:basedOn w:val="CommentTextChar"/>
    <w:link w:val="CommentSubject"/>
    <w:uiPriority w:val="99"/>
    <w:semiHidden/>
    <w:rsid w:val="00896412"/>
    <w:rPr>
      <w:b/>
      <w:bCs/>
      <w:sz w:val="20"/>
      <w:szCs w:val="20"/>
    </w:rPr>
  </w:style>
  <w:style w:type="paragraph" w:styleId="BalloonText">
    <w:name w:val="Balloon Text"/>
    <w:basedOn w:val="Normal"/>
    <w:link w:val="BalloonTextChar"/>
    <w:uiPriority w:val="99"/>
    <w:semiHidden/>
    <w:unhideWhenUsed/>
    <w:rsid w:val="0089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12"/>
    <w:rPr>
      <w:rFonts w:ascii="Tahoma" w:hAnsi="Tahoma" w:cs="Tahoma"/>
      <w:sz w:val="16"/>
      <w:szCs w:val="16"/>
    </w:rPr>
  </w:style>
  <w:style w:type="paragraph" w:styleId="FootnoteText">
    <w:name w:val="footnote text"/>
    <w:basedOn w:val="Normal"/>
    <w:link w:val="FootnoteTextChar"/>
    <w:uiPriority w:val="99"/>
    <w:unhideWhenUsed/>
    <w:rsid w:val="00CF420F"/>
    <w:pPr>
      <w:spacing w:after="0" w:line="240" w:lineRule="auto"/>
    </w:pPr>
    <w:rPr>
      <w:sz w:val="20"/>
      <w:szCs w:val="20"/>
    </w:rPr>
  </w:style>
  <w:style w:type="character" w:customStyle="1" w:styleId="FootnoteTextChar">
    <w:name w:val="Footnote Text Char"/>
    <w:basedOn w:val="DefaultParagraphFont"/>
    <w:link w:val="FootnoteText"/>
    <w:uiPriority w:val="99"/>
    <w:rsid w:val="00CF420F"/>
    <w:rPr>
      <w:sz w:val="20"/>
      <w:szCs w:val="20"/>
    </w:rPr>
  </w:style>
  <w:style w:type="character" w:styleId="FootnoteReference">
    <w:name w:val="footnote reference"/>
    <w:basedOn w:val="DefaultParagraphFont"/>
    <w:uiPriority w:val="99"/>
    <w:unhideWhenUsed/>
    <w:rsid w:val="00CF420F"/>
    <w:rPr>
      <w:vertAlign w:val="superscript"/>
    </w:rPr>
  </w:style>
  <w:style w:type="character" w:styleId="Hyperlink">
    <w:name w:val="Hyperlink"/>
    <w:basedOn w:val="DefaultParagraphFont"/>
    <w:uiPriority w:val="99"/>
    <w:unhideWhenUsed/>
    <w:rsid w:val="00CF420F"/>
    <w:rPr>
      <w:color w:val="0000FF" w:themeColor="hyperlink"/>
      <w:u w:val="single"/>
    </w:rPr>
  </w:style>
  <w:style w:type="character" w:styleId="FollowedHyperlink">
    <w:name w:val="FollowedHyperlink"/>
    <w:basedOn w:val="DefaultParagraphFont"/>
    <w:uiPriority w:val="99"/>
    <w:semiHidden/>
    <w:unhideWhenUsed/>
    <w:rsid w:val="00CF420F"/>
    <w:rPr>
      <w:color w:val="800080" w:themeColor="followedHyperlink"/>
      <w:u w:val="single"/>
    </w:rPr>
  </w:style>
  <w:style w:type="table" w:styleId="TableGrid">
    <w:name w:val="Table Grid"/>
    <w:basedOn w:val="TableNormal"/>
    <w:uiPriority w:val="59"/>
    <w:rsid w:val="00B85A6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15"/>
  </w:style>
  <w:style w:type="paragraph" w:styleId="Footer">
    <w:name w:val="footer"/>
    <w:basedOn w:val="Normal"/>
    <w:link w:val="FooterChar"/>
    <w:uiPriority w:val="99"/>
    <w:unhideWhenUsed/>
    <w:rsid w:val="0016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15"/>
  </w:style>
  <w:style w:type="paragraph" w:styleId="Revision">
    <w:name w:val="Revision"/>
    <w:hidden/>
    <w:uiPriority w:val="99"/>
    <w:semiHidden/>
    <w:rsid w:val="008E703C"/>
    <w:pPr>
      <w:spacing w:after="0" w:line="240" w:lineRule="auto"/>
    </w:pPr>
  </w:style>
  <w:style w:type="table" w:styleId="LightShading">
    <w:name w:val="Light Shading"/>
    <w:basedOn w:val="TableNormal"/>
    <w:uiPriority w:val="60"/>
    <w:rsid w:val="00FD5B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D5B3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D5B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D5B3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FD5B3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3">
    <w:name w:val="Medium Shading 2 Accent 3"/>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FD5B3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
    <w:name w:val="Medium Grid 1"/>
    <w:basedOn w:val="TableNormal"/>
    <w:uiPriority w:val="67"/>
    <w:rsid w:val="00FD5B3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D5B3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4">
    <w:name w:val="Medium Shading 2 Accent 4"/>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FD5B3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2">
    <w:name w:val="Colorful List Accent 2"/>
    <w:basedOn w:val="TableNormal"/>
    <w:uiPriority w:val="72"/>
    <w:rsid w:val="00FD5B3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DarkList-Accent6">
    <w:name w:val="Dark List Accent 6"/>
    <w:basedOn w:val="TableNormal"/>
    <w:uiPriority w:val="70"/>
    <w:rsid w:val="00FD5B3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FD5B3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94718">
      <w:bodyDiv w:val="1"/>
      <w:marLeft w:val="0"/>
      <w:marRight w:val="0"/>
      <w:marTop w:val="0"/>
      <w:marBottom w:val="0"/>
      <w:divBdr>
        <w:top w:val="none" w:sz="0" w:space="0" w:color="auto"/>
        <w:left w:val="none" w:sz="0" w:space="0" w:color="auto"/>
        <w:bottom w:val="none" w:sz="0" w:space="0" w:color="auto"/>
        <w:right w:val="none" w:sz="0" w:space="0" w:color="auto"/>
      </w:divBdr>
    </w:div>
    <w:div w:id="1101294026">
      <w:bodyDiv w:val="1"/>
      <w:marLeft w:val="0"/>
      <w:marRight w:val="0"/>
      <w:marTop w:val="0"/>
      <w:marBottom w:val="0"/>
      <w:divBdr>
        <w:top w:val="none" w:sz="0" w:space="0" w:color="auto"/>
        <w:left w:val="none" w:sz="0" w:space="0" w:color="auto"/>
        <w:bottom w:val="none" w:sz="0" w:space="0" w:color="auto"/>
        <w:right w:val="none" w:sz="0" w:space="0" w:color="auto"/>
      </w:divBdr>
    </w:div>
    <w:div w:id="1191649352">
      <w:bodyDiv w:val="1"/>
      <w:marLeft w:val="0"/>
      <w:marRight w:val="0"/>
      <w:marTop w:val="0"/>
      <w:marBottom w:val="0"/>
      <w:divBdr>
        <w:top w:val="none" w:sz="0" w:space="0" w:color="auto"/>
        <w:left w:val="none" w:sz="0" w:space="0" w:color="auto"/>
        <w:bottom w:val="none" w:sz="0" w:space="0" w:color="auto"/>
        <w:right w:val="none" w:sz="0" w:space="0" w:color="auto"/>
      </w:divBdr>
    </w:div>
    <w:div w:id="1546720850">
      <w:bodyDiv w:val="1"/>
      <w:marLeft w:val="0"/>
      <w:marRight w:val="0"/>
      <w:marTop w:val="0"/>
      <w:marBottom w:val="0"/>
      <w:divBdr>
        <w:top w:val="none" w:sz="0" w:space="0" w:color="auto"/>
        <w:left w:val="none" w:sz="0" w:space="0" w:color="auto"/>
        <w:bottom w:val="none" w:sz="0" w:space="0" w:color="auto"/>
        <w:right w:val="none" w:sz="0" w:space="0" w:color="auto"/>
      </w:divBdr>
    </w:div>
    <w:div w:id="1765950722">
      <w:bodyDiv w:val="1"/>
      <w:marLeft w:val="0"/>
      <w:marRight w:val="0"/>
      <w:marTop w:val="0"/>
      <w:marBottom w:val="0"/>
      <w:divBdr>
        <w:top w:val="none" w:sz="0" w:space="0" w:color="auto"/>
        <w:left w:val="none" w:sz="0" w:space="0" w:color="auto"/>
        <w:bottom w:val="none" w:sz="0" w:space="0" w:color="auto"/>
        <w:right w:val="none" w:sz="0" w:space="0" w:color="auto"/>
      </w:divBdr>
    </w:div>
    <w:div w:id="2111316540">
      <w:bodyDiv w:val="1"/>
      <w:marLeft w:val="0"/>
      <w:marRight w:val="0"/>
      <w:marTop w:val="0"/>
      <w:marBottom w:val="0"/>
      <w:divBdr>
        <w:top w:val="none" w:sz="0" w:space="0" w:color="auto"/>
        <w:left w:val="none" w:sz="0" w:space="0" w:color="auto"/>
        <w:bottom w:val="none" w:sz="0" w:space="0" w:color="auto"/>
        <w:right w:val="none" w:sz="0" w:space="0" w:color="auto"/>
      </w:divBdr>
    </w:div>
    <w:div w:id="2120248197">
      <w:bodyDiv w:val="1"/>
      <w:marLeft w:val="0"/>
      <w:marRight w:val="0"/>
      <w:marTop w:val="0"/>
      <w:marBottom w:val="0"/>
      <w:divBdr>
        <w:top w:val="none" w:sz="0" w:space="0" w:color="auto"/>
        <w:left w:val="none" w:sz="0" w:space="0" w:color="auto"/>
        <w:bottom w:val="none" w:sz="0" w:space="0" w:color="auto"/>
        <w:right w:val="none" w:sz="0" w:space="0" w:color="auto"/>
      </w:divBdr>
      <w:divsChild>
        <w:div w:id="226303675">
          <w:marLeft w:val="0"/>
          <w:marRight w:val="0"/>
          <w:marTop w:val="0"/>
          <w:marBottom w:val="0"/>
          <w:divBdr>
            <w:top w:val="none" w:sz="0" w:space="0" w:color="auto"/>
            <w:left w:val="none" w:sz="0" w:space="0" w:color="auto"/>
            <w:bottom w:val="none" w:sz="0" w:space="0" w:color="auto"/>
            <w:right w:val="none" w:sz="0" w:space="0" w:color="auto"/>
          </w:divBdr>
        </w:div>
        <w:div w:id="158933516">
          <w:marLeft w:val="0"/>
          <w:marRight w:val="0"/>
          <w:marTop w:val="0"/>
          <w:marBottom w:val="0"/>
          <w:divBdr>
            <w:top w:val="none" w:sz="0" w:space="0" w:color="auto"/>
            <w:left w:val="none" w:sz="0" w:space="0" w:color="auto"/>
            <w:bottom w:val="none" w:sz="0" w:space="0" w:color="auto"/>
            <w:right w:val="none" w:sz="0" w:space="0" w:color="auto"/>
          </w:divBdr>
        </w:div>
        <w:div w:id="831870840">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707145916">
          <w:marLeft w:val="0"/>
          <w:marRight w:val="0"/>
          <w:marTop w:val="0"/>
          <w:marBottom w:val="0"/>
          <w:divBdr>
            <w:top w:val="none" w:sz="0" w:space="0" w:color="auto"/>
            <w:left w:val="none" w:sz="0" w:space="0" w:color="auto"/>
            <w:bottom w:val="none" w:sz="0" w:space="0" w:color="auto"/>
            <w:right w:val="none" w:sz="0" w:space="0" w:color="auto"/>
          </w:divBdr>
        </w:div>
        <w:div w:id="957493681">
          <w:marLeft w:val="0"/>
          <w:marRight w:val="0"/>
          <w:marTop w:val="0"/>
          <w:marBottom w:val="0"/>
          <w:divBdr>
            <w:top w:val="none" w:sz="0" w:space="0" w:color="auto"/>
            <w:left w:val="none" w:sz="0" w:space="0" w:color="auto"/>
            <w:bottom w:val="none" w:sz="0" w:space="0" w:color="auto"/>
            <w:right w:val="none" w:sz="0" w:space="0" w:color="auto"/>
          </w:divBdr>
        </w:div>
        <w:div w:id="1983148616">
          <w:marLeft w:val="0"/>
          <w:marRight w:val="0"/>
          <w:marTop w:val="0"/>
          <w:marBottom w:val="0"/>
          <w:divBdr>
            <w:top w:val="none" w:sz="0" w:space="0" w:color="auto"/>
            <w:left w:val="none" w:sz="0" w:space="0" w:color="auto"/>
            <w:bottom w:val="none" w:sz="0" w:space="0" w:color="auto"/>
            <w:right w:val="none" w:sz="0" w:space="0" w:color="auto"/>
          </w:divBdr>
        </w:div>
        <w:div w:id="1266037034">
          <w:marLeft w:val="0"/>
          <w:marRight w:val="0"/>
          <w:marTop w:val="0"/>
          <w:marBottom w:val="0"/>
          <w:divBdr>
            <w:top w:val="none" w:sz="0" w:space="0" w:color="auto"/>
            <w:left w:val="none" w:sz="0" w:space="0" w:color="auto"/>
            <w:bottom w:val="none" w:sz="0" w:space="0" w:color="auto"/>
            <w:right w:val="none" w:sz="0" w:space="0" w:color="auto"/>
          </w:divBdr>
        </w:div>
        <w:div w:id="1042246303">
          <w:marLeft w:val="0"/>
          <w:marRight w:val="0"/>
          <w:marTop w:val="0"/>
          <w:marBottom w:val="0"/>
          <w:divBdr>
            <w:top w:val="none" w:sz="0" w:space="0" w:color="auto"/>
            <w:left w:val="none" w:sz="0" w:space="0" w:color="auto"/>
            <w:bottom w:val="none" w:sz="0" w:space="0" w:color="auto"/>
            <w:right w:val="none" w:sz="0" w:space="0" w:color="auto"/>
          </w:divBdr>
        </w:div>
        <w:div w:id="259530991">
          <w:marLeft w:val="0"/>
          <w:marRight w:val="0"/>
          <w:marTop w:val="0"/>
          <w:marBottom w:val="0"/>
          <w:divBdr>
            <w:top w:val="none" w:sz="0" w:space="0" w:color="auto"/>
            <w:left w:val="none" w:sz="0" w:space="0" w:color="auto"/>
            <w:bottom w:val="none" w:sz="0" w:space="0" w:color="auto"/>
            <w:right w:val="none" w:sz="0" w:space="0" w:color="auto"/>
          </w:divBdr>
        </w:div>
        <w:div w:id="249968065">
          <w:marLeft w:val="0"/>
          <w:marRight w:val="0"/>
          <w:marTop w:val="0"/>
          <w:marBottom w:val="0"/>
          <w:divBdr>
            <w:top w:val="none" w:sz="0" w:space="0" w:color="auto"/>
            <w:left w:val="none" w:sz="0" w:space="0" w:color="auto"/>
            <w:bottom w:val="none" w:sz="0" w:space="0" w:color="auto"/>
            <w:right w:val="none" w:sz="0" w:space="0" w:color="auto"/>
          </w:divBdr>
        </w:div>
        <w:div w:id="1195192017">
          <w:marLeft w:val="0"/>
          <w:marRight w:val="0"/>
          <w:marTop w:val="0"/>
          <w:marBottom w:val="0"/>
          <w:divBdr>
            <w:top w:val="none" w:sz="0" w:space="0" w:color="auto"/>
            <w:left w:val="none" w:sz="0" w:space="0" w:color="auto"/>
            <w:bottom w:val="none" w:sz="0" w:space="0" w:color="auto"/>
            <w:right w:val="none" w:sz="0" w:space="0" w:color="auto"/>
          </w:divBdr>
        </w:div>
        <w:div w:id="362752305">
          <w:marLeft w:val="0"/>
          <w:marRight w:val="0"/>
          <w:marTop w:val="0"/>
          <w:marBottom w:val="0"/>
          <w:divBdr>
            <w:top w:val="none" w:sz="0" w:space="0" w:color="auto"/>
            <w:left w:val="none" w:sz="0" w:space="0" w:color="auto"/>
            <w:bottom w:val="none" w:sz="0" w:space="0" w:color="auto"/>
            <w:right w:val="none" w:sz="0" w:space="0" w:color="auto"/>
          </w:divBdr>
        </w:div>
        <w:div w:id="1489324471">
          <w:marLeft w:val="0"/>
          <w:marRight w:val="0"/>
          <w:marTop w:val="0"/>
          <w:marBottom w:val="0"/>
          <w:divBdr>
            <w:top w:val="none" w:sz="0" w:space="0" w:color="auto"/>
            <w:left w:val="none" w:sz="0" w:space="0" w:color="auto"/>
            <w:bottom w:val="none" w:sz="0" w:space="0" w:color="auto"/>
            <w:right w:val="none" w:sz="0" w:space="0" w:color="auto"/>
          </w:divBdr>
        </w:div>
        <w:div w:id="158741496">
          <w:marLeft w:val="0"/>
          <w:marRight w:val="0"/>
          <w:marTop w:val="0"/>
          <w:marBottom w:val="0"/>
          <w:divBdr>
            <w:top w:val="none" w:sz="0" w:space="0" w:color="auto"/>
            <w:left w:val="none" w:sz="0" w:space="0" w:color="auto"/>
            <w:bottom w:val="none" w:sz="0" w:space="0" w:color="auto"/>
            <w:right w:val="none" w:sz="0" w:space="0" w:color="auto"/>
          </w:divBdr>
        </w:div>
        <w:div w:id="925647069">
          <w:marLeft w:val="0"/>
          <w:marRight w:val="0"/>
          <w:marTop w:val="0"/>
          <w:marBottom w:val="0"/>
          <w:divBdr>
            <w:top w:val="none" w:sz="0" w:space="0" w:color="auto"/>
            <w:left w:val="none" w:sz="0" w:space="0" w:color="auto"/>
            <w:bottom w:val="none" w:sz="0" w:space="0" w:color="auto"/>
            <w:right w:val="none" w:sz="0" w:space="0" w:color="auto"/>
          </w:divBdr>
        </w:div>
        <w:div w:id="55248636">
          <w:marLeft w:val="0"/>
          <w:marRight w:val="0"/>
          <w:marTop w:val="0"/>
          <w:marBottom w:val="0"/>
          <w:divBdr>
            <w:top w:val="none" w:sz="0" w:space="0" w:color="auto"/>
            <w:left w:val="none" w:sz="0" w:space="0" w:color="auto"/>
            <w:bottom w:val="none" w:sz="0" w:space="0" w:color="auto"/>
            <w:right w:val="none" w:sz="0" w:space="0" w:color="auto"/>
          </w:divBdr>
        </w:div>
        <w:div w:id="1946963906">
          <w:marLeft w:val="0"/>
          <w:marRight w:val="0"/>
          <w:marTop w:val="0"/>
          <w:marBottom w:val="0"/>
          <w:divBdr>
            <w:top w:val="none" w:sz="0" w:space="0" w:color="auto"/>
            <w:left w:val="none" w:sz="0" w:space="0" w:color="auto"/>
            <w:bottom w:val="none" w:sz="0" w:space="0" w:color="auto"/>
            <w:right w:val="none" w:sz="0" w:space="0" w:color="auto"/>
          </w:divBdr>
        </w:div>
        <w:div w:id="1383404737">
          <w:marLeft w:val="0"/>
          <w:marRight w:val="0"/>
          <w:marTop w:val="0"/>
          <w:marBottom w:val="0"/>
          <w:divBdr>
            <w:top w:val="none" w:sz="0" w:space="0" w:color="auto"/>
            <w:left w:val="none" w:sz="0" w:space="0" w:color="auto"/>
            <w:bottom w:val="none" w:sz="0" w:space="0" w:color="auto"/>
            <w:right w:val="none" w:sz="0" w:space="0" w:color="auto"/>
          </w:divBdr>
        </w:div>
        <w:div w:id="1347514555">
          <w:marLeft w:val="0"/>
          <w:marRight w:val="0"/>
          <w:marTop w:val="0"/>
          <w:marBottom w:val="0"/>
          <w:divBdr>
            <w:top w:val="none" w:sz="0" w:space="0" w:color="auto"/>
            <w:left w:val="none" w:sz="0" w:space="0" w:color="auto"/>
            <w:bottom w:val="none" w:sz="0" w:space="0" w:color="auto"/>
            <w:right w:val="none" w:sz="0" w:space="0" w:color="auto"/>
          </w:divBdr>
        </w:div>
        <w:div w:id="1670058665">
          <w:marLeft w:val="0"/>
          <w:marRight w:val="0"/>
          <w:marTop w:val="0"/>
          <w:marBottom w:val="0"/>
          <w:divBdr>
            <w:top w:val="none" w:sz="0" w:space="0" w:color="auto"/>
            <w:left w:val="none" w:sz="0" w:space="0" w:color="auto"/>
            <w:bottom w:val="none" w:sz="0" w:space="0" w:color="auto"/>
            <w:right w:val="none" w:sz="0" w:space="0" w:color="auto"/>
          </w:divBdr>
        </w:div>
        <w:div w:id="1489596491">
          <w:marLeft w:val="0"/>
          <w:marRight w:val="0"/>
          <w:marTop w:val="0"/>
          <w:marBottom w:val="0"/>
          <w:divBdr>
            <w:top w:val="none" w:sz="0" w:space="0" w:color="auto"/>
            <w:left w:val="none" w:sz="0" w:space="0" w:color="auto"/>
            <w:bottom w:val="none" w:sz="0" w:space="0" w:color="auto"/>
            <w:right w:val="none" w:sz="0" w:space="0" w:color="auto"/>
          </w:divBdr>
        </w:div>
        <w:div w:id="62261514">
          <w:marLeft w:val="0"/>
          <w:marRight w:val="0"/>
          <w:marTop w:val="0"/>
          <w:marBottom w:val="0"/>
          <w:divBdr>
            <w:top w:val="none" w:sz="0" w:space="0" w:color="auto"/>
            <w:left w:val="none" w:sz="0" w:space="0" w:color="auto"/>
            <w:bottom w:val="none" w:sz="0" w:space="0" w:color="auto"/>
            <w:right w:val="none" w:sz="0" w:space="0" w:color="auto"/>
          </w:divBdr>
        </w:div>
        <w:div w:id="1475216019">
          <w:marLeft w:val="0"/>
          <w:marRight w:val="0"/>
          <w:marTop w:val="0"/>
          <w:marBottom w:val="0"/>
          <w:divBdr>
            <w:top w:val="none" w:sz="0" w:space="0" w:color="auto"/>
            <w:left w:val="none" w:sz="0" w:space="0" w:color="auto"/>
            <w:bottom w:val="none" w:sz="0" w:space="0" w:color="auto"/>
            <w:right w:val="none" w:sz="0" w:space="0" w:color="auto"/>
          </w:divBdr>
        </w:div>
        <w:div w:id="1104500843">
          <w:marLeft w:val="0"/>
          <w:marRight w:val="0"/>
          <w:marTop w:val="0"/>
          <w:marBottom w:val="0"/>
          <w:divBdr>
            <w:top w:val="none" w:sz="0" w:space="0" w:color="auto"/>
            <w:left w:val="none" w:sz="0" w:space="0" w:color="auto"/>
            <w:bottom w:val="none" w:sz="0" w:space="0" w:color="auto"/>
            <w:right w:val="none" w:sz="0" w:space="0" w:color="auto"/>
          </w:divBdr>
        </w:div>
        <w:div w:id="315232333">
          <w:marLeft w:val="0"/>
          <w:marRight w:val="0"/>
          <w:marTop w:val="0"/>
          <w:marBottom w:val="0"/>
          <w:divBdr>
            <w:top w:val="none" w:sz="0" w:space="0" w:color="auto"/>
            <w:left w:val="none" w:sz="0" w:space="0" w:color="auto"/>
            <w:bottom w:val="none" w:sz="0" w:space="0" w:color="auto"/>
            <w:right w:val="none" w:sz="0" w:space="0" w:color="auto"/>
          </w:divBdr>
        </w:div>
        <w:div w:id="1664819873">
          <w:marLeft w:val="0"/>
          <w:marRight w:val="0"/>
          <w:marTop w:val="0"/>
          <w:marBottom w:val="0"/>
          <w:divBdr>
            <w:top w:val="none" w:sz="0" w:space="0" w:color="auto"/>
            <w:left w:val="none" w:sz="0" w:space="0" w:color="auto"/>
            <w:bottom w:val="none" w:sz="0" w:space="0" w:color="auto"/>
            <w:right w:val="none" w:sz="0" w:space="0" w:color="auto"/>
          </w:divBdr>
        </w:div>
        <w:div w:id="329527790">
          <w:marLeft w:val="0"/>
          <w:marRight w:val="0"/>
          <w:marTop w:val="0"/>
          <w:marBottom w:val="0"/>
          <w:divBdr>
            <w:top w:val="none" w:sz="0" w:space="0" w:color="auto"/>
            <w:left w:val="none" w:sz="0" w:space="0" w:color="auto"/>
            <w:bottom w:val="none" w:sz="0" w:space="0" w:color="auto"/>
            <w:right w:val="none" w:sz="0" w:space="0" w:color="auto"/>
          </w:divBdr>
        </w:div>
        <w:div w:id="261257725">
          <w:marLeft w:val="0"/>
          <w:marRight w:val="0"/>
          <w:marTop w:val="0"/>
          <w:marBottom w:val="0"/>
          <w:divBdr>
            <w:top w:val="none" w:sz="0" w:space="0" w:color="auto"/>
            <w:left w:val="none" w:sz="0" w:space="0" w:color="auto"/>
            <w:bottom w:val="none" w:sz="0" w:space="0" w:color="auto"/>
            <w:right w:val="none" w:sz="0" w:space="0" w:color="auto"/>
          </w:divBdr>
        </w:div>
        <w:div w:id="89785226">
          <w:marLeft w:val="0"/>
          <w:marRight w:val="0"/>
          <w:marTop w:val="0"/>
          <w:marBottom w:val="0"/>
          <w:divBdr>
            <w:top w:val="none" w:sz="0" w:space="0" w:color="auto"/>
            <w:left w:val="none" w:sz="0" w:space="0" w:color="auto"/>
            <w:bottom w:val="none" w:sz="0" w:space="0" w:color="auto"/>
            <w:right w:val="none" w:sz="0" w:space="0" w:color="auto"/>
          </w:divBdr>
        </w:div>
        <w:div w:id="1391883885">
          <w:marLeft w:val="0"/>
          <w:marRight w:val="0"/>
          <w:marTop w:val="0"/>
          <w:marBottom w:val="0"/>
          <w:divBdr>
            <w:top w:val="none" w:sz="0" w:space="0" w:color="auto"/>
            <w:left w:val="none" w:sz="0" w:space="0" w:color="auto"/>
            <w:bottom w:val="none" w:sz="0" w:space="0" w:color="auto"/>
            <w:right w:val="none" w:sz="0" w:space="0" w:color="auto"/>
          </w:divBdr>
        </w:div>
        <w:div w:id="1410925361">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673145895">
          <w:marLeft w:val="0"/>
          <w:marRight w:val="0"/>
          <w:marTop w:val="0"/>
          <w:marBottom w:val="0"/>
          <w:divBdr>
            <w:top w:val="none" w:sz="0" w:space="0" w:color="auto"/>
            <w:left w:val="none" w:sz="0" w:space="0" w:color="auto"/>
            <w:bottom w:val="none" w:sz="0" w:space="0" w:color="auto"/>
            <w:right w:val="none" w:sz="0" w:space="0" w:color="auto"/>
          </w:divBdr>
        </w:div>
        <w:div w:id="1331786296">
          <w:marLeft w:val="0"/>
          <w:marRight w:val="0"/>
          <w:marTop w:val="0"/>
          <w:marBottom w:val="0"/>
          <w:divBdr>
            <w:top w:val="none" w:sz="0" w:space="0" w:color="auto"/>
            <w:left w:val="none" w:sz="0" w:space="0" w:color="auto"/>
            <w:bottom w:val="none" w:sz="0" w:space="0" w:color="auto"/>
            <w:right w:val="none" w:sz="0" w:space="0" w:color="auto"/>
          </w:divBdr>
        </w:div>
      </w:divsChild>
    </w:div>
    <w:div w:id="21252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journals.plos.org/plosone/article?id=10.1371/journal.pone.0118494" TargetMode="External"/><Relationship Id="rId4" Type="http://schemas.openxmlformats.org/officeDocument/2006/relationships/hyperlink" Target="http://science.nasa.gov/media/medialibrary/2015/01/07/AAS_Townhall_Hertz_Jan2015_FINAL.pdf" TargetMode="External"/><Relationship Id="rId5" Type="http://schemas.openxmlformats.org/officeDocument/2006/relationships/hyperlink" Target="http://science.nasa.gov/researchers/sara/division-corner/heliophysics-division-corner/" TargetMode="External"/><Relationship Id="rId6" Type="http://schemas.openxmlformats.org/officeDocument/2006/relationships/hyperlink" Target="http://www.nsf.gov/attachments/131083/public/Dan-Evans_AST_Individual_Investigator_Programs-AAAC_Meeting.pdf" TargetMode="External"/><Relationship Id="rId7" Type="http://schemas.openxmlformats.org/officeDocument/2006/relationships/hyperlink" Target="http://science.nasa.gov/researchers/sara/grant-stats/a-plot-of-grades-vs-who-gets-selected/" TargetMode="External"/><Relationship Id="rId8" Type="http://schemas.openxmlformats.org/officeDocument/2006/relationships/hyperlink" Target="http://science.nasa.gov/media/medialibrary/2014/04/09/2014.03.27_ApS_RA_final-2.pdf" TargetMode="External"/><Relationship Id="rId1" Type="http://schemas.openxmlformats.org/officeDocument/2006/relationships/hyperlink" Target="http://www.nsf.gov/mps/ast/aaac/reports/annual/aaac_2014_report.pdf" TargetMode="External"/><Relationship Id="rId2" Type="http://schemas.openxmlformats.org/officeDocument/2006/relationships/hyperlink" Target="http://www.nsf.gov/mps/ast/aaac/reports/annual/aaac_2015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FDE8-935F-6E4B-B60A-82AF33B5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4290</Words>
  <Characters>24458</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28691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Keivan Stassun</dc:creator>
  <cp:lastModifiedBy>Priscilla Cushman</cp:lastModifiedBy>
  <cp:revision>4</cp:revision>
  <cp:lastPrinted>2015-09-25T21:10:00Z</cp:lastPrinted>
  <dcterms:created xsi:type="dcterms:W3CDTF">2015-09-11T15:14:00Z</dcterms:created>
  <dcterms:modified xsi:type="dcterms:W3CDTF">2015-09-25T21:11:00Z</dcterms:modified>
</cp:coreProperties>
</file>