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5B26" w14:textId="77777777" w:rsidR="00A65F05" w:rsidRPr="00DE0BBA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proofErr w:type="spellStart"/>
      <w:r w:rsidRPr="00DE0BBA">
        <w:rPr>
          <w:rFonts w:cs="Helvetica"/>
          <w:b/>
          <w:bCs/>
        </w:rPr>
        <w:t>Muon</w:t>
      </w:r>
      <w:proofErr w:type="spellEnd"/>
      <w:r w:rsidRPr="00DE0BBA">
        <w:rPr>
          <w:rFonts w:cs="Helvetica"/>
          <w:b/>
          <w:bCs/>
        </w:rPr>
        <w:t xml:space="preserve"> Spectra </w:t>
      </w:r>
      <w:proofErr w:type="spellStart"/>
      <w:r w:rsidRPr="00DE0BBA">
        <w:rPr>
          <w:rFonts w:cs="Helvetica"/>
          <w:b/>
          <w:bCs/>
        </w:rPr>
        <w:t>vs</w:t>
      </w:r>
      <w:proofErr w:type="spellEnd"/>
      <w:r w:rsidRPr="00DE0BBA">
        <w:rPr>
          <w:rFonts w:cs="Helvetica"/>
          <w:b/>
          <w:bCs/>
        </w:rPr>
        <w:t xml:space="preserve"> Depth</w:t>
      </w:r>
    </w:p>
    <w:p w14:paraId="6CF2B850" w14:textId="77777777" w:rsidR="00A65F05" w:rsidRPr="00DE0BBA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rates and energy spectra as a function of depth are taken from parameterization described in [Mei2005], using the flat overburden equivalent for all sites. Rates verified within factor of two of measurements. Energy spectra may differ by factor of a few at low energies, but match well for </w:t>
      </w:r>
      <w:proofErr w:type="spellStart"/>
      <w:r w:rsidRPr="00DE0BBA">
        <w:rPr>
          <w:rFonts w:cs="Helvetica"/>
        </w:rPr>
        <w:t>TeV</w:t>
      </w:r>
      <w:proofErr w:type="spellEnd"/>
      <w:r w:rsidRPr="00DE0BBA">
        <w:rPr>
          <w:rFonts w:cs="Helvetica"/>
        </w:rPr>
        <w:t xml:space="preserve"> or higher </w:t>
      </w:r>
      <w:proofErr w:type="spellStart"/>
      <w:r w:rsidRPr="00DE0BBA">
        <w:rPr>
          <w:rFonts w:cs="Helvetica"/>
        </w:rPr>
        <w:t>muons</w:t>
      </w:r>
      <w:proofErr w:type="spellEnd"/>
      <w:r w:rsidRPr="00DE0BBA">
        <w:rPr>
          <w:rFonts w:cs="Helvetica"/>
        </w:rPr>
        <w:t xml:space="preserve">. </w:t>
      </w:r>
      <w:proofErr w:type="spellStart"/>
      <w:r w:rsidRPr="00DE0BBA">
        <w:rPr>
          <w:rFonts w:cs="Helvetica"/>
        </w:rPr>
        <w:t>TeV</w:t>
      </w:r>
      <w:proofErr w:type="spellEnd"/>
      <w:r w:rsidRPr="00DE0BBA">
        <w:rPr>
          <w:rFonts w:cs="Helvetica"/>
        </w:rPr>
        <w:t xml:space="preserve"> or higher </w:t>
      </w:r>
      <w:proofErr w:type="spellStart"/>
      <w:r w:rsidRPr="00DE0BBA">
        <w:rPr>
          <w:rFonts w:cs="Helvetica"/>
        </w:rPr>
        <w:t>muons</w:t>
      </w:r>
      <w:proofErr w:type="spellEnd"/>
      <w:r w:rsidRPr="00DE0BBA">
        <w:rPr>
          <w:rFonts w:cs="Helvetica"/>
        </w:rPr>
        <w:t xml:space="preserve"> contributed X% of total cavern neutron flux, so discrepancies at lower energies vary results by a factor of Y.</w:t>
      </w:r>
    </w:p>
    <w:p w14:paraId="3695CA7A" w14:textId="77777777" w:rsidR="00A65F05" w:rsidRPr="00DE0BBA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spectra are compared for </w:t>
      </w:r>
      <w:proofErr w:type="spellStart"/>
      <w:r w:rsidRPr="00DE0BBA">
        <w:rPr>
          <w:rFonts w:cs="Helvetica"/>
        </w:rPr>
        <w:t>Homestake</w:t>
      </w:r>
      <w:proofErr w:type="spellEnd"/>
      <w:r w:rsidRPr="00DE0BBA">
        <w:rPr>
          <w:rFonts w:cs="Helvetica"/>
        </w:rPr>
        <w:t xml:space="preserve"> 4850, Soudan, and SNOLAB sites in Fig. [</w:t>
      </w:r>
      <w:proofErr w:type="spellStart"/>
      <w:r w:rsidRPr="00DE0BBA">
        <w:rPr>
          <w:rFonts w:cs="Helvetica"/>
        </w:rPr>
        <w:t>fig</w:t>
      </w:r>
      <w:proofErr w:type="gramStart"/>
      <w:r w:rsidRPr="00DE0BBA">
        <w:rPr>
          <w:rFonts w:cs="Helvetica"/>
        </w:rPr>
        <w:t>:muon</w:t>
      </w:r>
      <w:proofErr w:type="gramEnd"/>
      <w:r w:rsidRPr="00DE0BBA">
        <w:rPr>
          <w:rFonts w:cs="Helvetica"/>
        </w:rPr>
        <w:t>-E-spectra</w:t>
      </w:r>
      <w:proofErr w:type="spellEnd"/>
      <w:r w:rsidRPr="00DE0BBA">
        <w:rPr>
          <w:rFonts w:cs="Helvetica"/>
        </w:rPr>
        <w:t>]. These spectra are normalized for rate and their respective shapes are compared directly in Fig. [</w:t>
      </w:r>
      <w:proofErr w:type="spellStart"/>
      <w:r w:rsidRPr="00DE0BBA">
        <w:rPr>
          <w:rFonts w:cs="Helvetica"/>
        </w:rPr>
        <w:t>fig</w:t>
      </w:r>
      <w:proofErr w:type="gramStart"/>
      <w:r w:rsidRPr="00DE0BBA">
        <w:rPr>
          <w:rFonts w:cs="Helvetica"/>
        </w:rPr>
        <w:t>:muon</w:t>
      </w:r>
      <w:proofErr w:type="gramEnd"/>
      <w:r w:rsidRPr="00DE0BBA">
        <w:rPr>
          <w:rFonts w:cs="Helvetica"/>
        </w:rPr>
        <w:t>-E-spectra-norm</w:t>
      </w:r>
      <w:proofErr w:type="spellEnd"/>
      <w:r w:rsidRPr="00DE0BBA">
        <w:rPr>
          <w:rFonts w:cs="Helvetica"/>
        </w:rPr>
        <w:t xml:space="preserve">]. The energy spectra feature a crossover point near 170 </w:t>
      </w:r>
      <w:proofErr w:type="spellStart"/>
      <w:r w:rsidRPr="00DE0BBA">
        <w:rPr>
          <w:rFonts w:cs="Helvetica"/>
        </w:rPr>
        <w:t>GeV</w:t>
      </w:r>
      <w:proofErr w:type="spellEnd"/>
      <w:r w:rsidRPr="00DE0BBA">
        <w:rPr>
          <w:rFonts w:cs="Helvetica"/>
        </w:rPr>
        <w:t xml:space="preserve">, providing a useful point for comparing relative proportions of high- and low-energy </w:t>
      </w:r>
      <w:proofErr w:type="spellStart"/>
      <w:r w:rsidRPr="00DE0BBA">
        <w:rPr>
          <w:rFonts w:cs="Helvetica"/>
        </w:rPr>
        <w:t>muons</w:t>
      </w:r>
      <w:proofErr w:type="spellEnd"/>
      <w:r w:rsidRPr="00DE0BBA">
        <w:rPr>
          <w:rFonts w:cs="Helvetica"/>
        </w:rPr>
        <w:t xml:space="preserve"> for various depth spectra. It should be noted that, for the range of this comparison, the low-energy spectral component varies from 64% of total (for Soudan) to 48% of total (for SNOLAB), while for </w:t>
      </w:r>
      <w:proofErr w:type="spellStart"/>
      <w:r w:rsidRPr="00DE0BBA">
        <w:rPr>
          <w:rFonts w:cs="Helvetica"/>
        </w:rPr>
        <w:t>Homestake</w:t>
      </w:r>
      <w:proofErr w:type="spellEnd"/>
      <w:r w:rsidRPr="00DE0BBA">
        <w:rPr>
          <w:rFonts w:cs="Helvetica"/>
        </w:rPr>
        <w:t xml:space="preserve"> it comprises 51% of total. The slope of the high-energy </w:t>
      </w:r>
      <w:proofErr w:type="spellStart"/>
      <w:r w:rsidRPr="00DE0BBA">
        <w:rPr>
          <w:rFonts w:cs="Helvetica"/>
        </w:rPr>
        <w:t>rolloff</w:t>
      </w:r>
      <w:proofErr w:type="spellEnd"/>
      <w:r w:rsidRPr="00DE0BBA">
        <w:rPr>
          <w:rFonts w:cs="Helvetica"/>
        </w:rPr>
        <w:t xml:space="preserve"> is also constant with power 3.77. The primary variation in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-induced backgrounds is therefore expected to stem from differences in the overall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flux for a various sites, rather than the change in spectral shape with depth. </w:t>
      </w:r>
    </w:p>
    <w:p w14:paraId="2B857613" w14:textId="77777777" w:rsidR="00A65F05" w:rsidRPr="00DE0BBA" w:rsidRDefault="00A65F05" w:rsidP="00A65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A0F82E1" w14:textId="77777777" w:rsidR="00A65F05" w:rsidRPr="00DE0BBA" w:rsidRDefault="00A65F05" w:rsidP="00A65F05">
      <w:pPr>
        <w:widowControl w:val="0"/>
        <w:autoSpaceDE w:val="0"/>
        <w:autoSpaceDN w:val="0"/>
        <w:adjustRightInd w:val="0"/>
        <w:rPr>
          <w:rFonts w:cs="Times"/>
        </w:rPr>
      </w:pPr>
      <w:r w:rsidRPr="00DE0BBA">
        <w:rPr>
          <w:rFonts w:cs="Helvetica"/>
          <w:noProof/>
        </w:rPr>
        <w:drawing>
          <wp:anchor distT="0" distB="0" distL="114300" distR="114300" simplePos="0" relativeHeight="251659264" behindDoc="0" locked="0" layoutInCell="1" allowOverlap="1" wp14:anchorId="2163438C" wp14:editId="78230A81">
            <wp:simplePos x="0" y="0"/>
            <wp:positionH relativeFrom="column">
              <wp:posOffset>3086100</wp:posOffset>
            </wp:positionH>
            <wp:positionV relativeFrom="paragraph">
              <wp:posOffset>342900</wp:posOffset>
            </wp:positionV>
            <wp:extent cx="2755265" cy="1836420"/>
            <wp:effectExtent l="0" t="0" r="0" b="0"/>
            <wp:wrapTopAndBottom/>
            <wp:docPr id="8158" name="Picture 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BBA">
        <w:rPr>
          <w:rFonts w:cs="Helvetica"/>
          <w:noProof/>
        </w:rPr>
        <w:drawing>
          <wp:anchor distT="0" distB="0" distL="114300" distR="114300" simplePos="0" relativeHeight="251660288" behindDoc="0" locked="0" layoutInCell="1" allowOverlap="1" wp14:anchorId="7356DCFD" wp14:editId="6668C5ED">
            <wp:simplePos x="0" y="0"/>
            <wp:positionH relativeFrom="column">
              <wp:posOffset>-25400</wp:posOffset>
            </wp:positionH>
            <wp:positionV relativeFrom="paragraph">
              <wp:posOffset>303530</wp:posOffset>
            </wp:positionV>
            <wp:extent cx="2802890" cy="1868170"/>
            <wp:effectExtent l="0" t="0" r="0" b="11430"/>
            <wp:wrapTopAndBottom/>
            <wp:docPr id="8156" name="Picture 8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BBA">
        <w:rPr>
          <w:rFonts w:cs="Times"/>
          <w:noProof/>
        </w:rPr>
        <w:drawing>
          <wp:inline distT="0" distB="0" distL="0" distR="0" wp14:anchorId="5C7E0437" wp14:editId="69749A21">
            <wp:extent cx="6350" cy="12700"/>
            <wp:effectExtent l="0" t="0" r="0" b="0"/>
            <wp:docPr id="7187" name="Picture 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D2A0" w14:textId="77777777" w:rsidR="00A65F05" w:rsidRPr="00DE0BBA" w:rsidRDefault="00A65F05" w:rsidP="00A65F05">
      <w:pPr>
        <w:widowControl w:val="0"/>
        <w:autoSpaceDE w:val="0"/>
        <w:autoSpaceDN w:val="0"/>
        <w:adjustRightInd w:val="0"/>
        <w:rPr>
          <w:rFonts w:cs="Times"/>
        </w:rPr>
      </w:pPr>
      <w:r w:rsidRPr="00DE0BBA">
        <w:rPr>
          <w:rFonts w:cs="Times"/>
          <w:noProof/>
        </w:rPr>
        <w:drawing>
          <wp:inline distT="0" distB="0" distL="0" distR="0" wp14:anchorId="3949D043" wp14:editId="5FC75FDF">
            <wp:extent cx="6350" cy="12700"/>
            <wp:effectExtent l="0" t="0" r="0" b="0"/>
            <wp:docPr id="7206" name="Picture 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F247" w14:textId="77777777" w:rsidR="00A65F05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Times"/>
          <w:noProof/>
        </w:rPr>
        <w:drawing>
          <wp:inline distT="0" distB="0" distL="0" distR="0" wp14:anchorId="7EB5DD6D" wp14:editId="21FCA2A0">
            <wp:extent cx="6350" cy="12700"/>
            <wp:effectExtent l="0" t="0" r="0" b="0"/>
            <wp:docPr id="7207" name="Picture 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BBA">
        <w:rPr>
          <w:rFonts w:cs="Helvetica"/>
        </w:rPr>
        <w:t xml:space="preserve"> </w:t>
      </w:r>
      <w:r>
        <w:rPr>
          <w:rFonts w:cs="Helvetica"/>
        </w:rPr>
        <w:t>Figure</w:t>
      </w:r>
      <w:r w:rsidRPr="00DE0BBA">
        <w:rPr>
          <w:rFonts w:cs="Helvetica"/>
        </w:rPr>
        <w:t xml:space="preserve"> 1. Left: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spectra as a fu</w:t>
      </w:r>
      <w:r>
        <w:rPr>
          <w:rFonts w:cs="Helvetica"/>
        </w:rPr>
        <w:t xml:space="preserve">nction of depth, taken from the </w:t>
      </w:r>
      <w:r w:rsidRPr="00DE0BBA">
        <w:rPr>
          <w:rFonts w:cs="Helvetica"/>
        </w:rPr>
        <w:t>parameteri</w:t>
      </w:r>
      <w:r>
        <w:rPr>
          <w:rFonts w:cs="Helvetica"/>
        </w:rPr>
        <w:t xml:space="preserve">zation described in [Mei2005]. </w:t>
      </w:r>
      <w:r w:rsidRPr="00DE0BBA">
        <w:rPr>
          <w:rFonts w:cs="Helvetica"/>
        </w:rPr>
        <w:t>Right: Same spectra</w:t>
      </w:r>
      <w:r w:rsidRPr="00DE0BBA">
        <w:rPr>
          <w:rFonts w:cs="Times"/>
        </w:rPr>
        <w:t xml:space="preserve"> </w:t>
      </w:r>
      <w:r w:rsidRPr="00DE0BBA">
        <w:rPr>
          <w:rFonts w:cs="Helvetica"/>
        </w:rPr>
        <w:t>normalized by area for comparison of shape.</w:t>
      </w:r>
    </w:p>
    <w:p w14:paraId="740389CC" w14:textId="77777777" w:rsidR="00A65F05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46CA5703" w14:textId="6E8F7B4D" w:rsidR="00A65F05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 xml:space="preserve">** Chao writes: </w:t>
      </w:r>
      <w:r w:rsidRPr="0019337E">
        <w:rPr>
          <w:rFonts w:cs="Times"/>
        </w:rPr>
        <w:t xml:space="preserve">The differential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at 4850 </w:t>
      </w:r>
      <w:proofErr w:type="spellStart"/>
      <w:r w:rsidRPr="0019337E">
        <w:rPr>
          <w:rFonts w:cs="Times"/>
        </w:rPr>
        <w:t>ft</w:t>
      </w:r>
      <w:proofErr w:type="spellEnd"/>
      <w:r w:rsidRPr="0019337E">
        <w:rPr>
          <w:rFonts w:cs="Times"/>
        </w:rPr>
        <w:t xml:space="preserve"> (4.4 </w:t>
      </w:r>
      <w:proofErr w:type="spellStart"/>
      <w:r w:rsidRPr="0019337E">
        <w:rPr>
          <w:rFonts w:cs="Times"/>
        </w:rPr>
        <w:t>km.w.e</w:t>
      </w:r>
      <w:proofErr w:type="spellEnd"/>
      <w:r w:rsidRPr="0019337E">
        <w:rPr>
          <w:rFonts w:cs="Times"/>
        </w:rPr>
        <w:t xml:space="preserve">) level at </w:t>
      </w:r>
      <w:proofErr w:type="spellStart"/>
      <w:r w:rsidRPr="0019337E">
        <w:rPr>
          <w:rFonts w:cs="Times"/>
        </w:rPr>
        <w:t>Homestake</w:t>
      </w:r>
      <w:proofErr w:type="spellEnd"/>
      <w:r w:rsidRPr="0019337E">
        <w:rPr>
          <w:rFonts w:cs="Times"/>
        </w:rPr>
        <w:t xml:space="preserve"> was measured by Cherry et al</w:t>
      </w:r>
      <w:proofErr w:type="gramStart"/>
      <w:r w:rsidRPr="0019337E">
        <w:rPr>
          <w:rFonts w:cs="Times"/>
        </w:rPr>
        <w:t>.[</w:t>
      </w:r>
      <w:proofErr w:type="gramEnd"/>
      <w:r w:rsidRPr="0019337E">
        <w:rPr>
          <w:rFonts w:cs="Times"/>
        </w:rPr>
        <w:t xml:space="preserve">1] at early 80s. In order to characterize the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as function of depth, the cosmic ray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was measured in different depth of </w:t>
      </w:r>
      <w:proofErr w:type="spellStart"/>
      <w:r w:rsidRPr="0019337E">
        <w:rPr>
          <w:rFonts w:cs="Times"/>
        </w:rPr>
        <w:t>Homestake</w:t>
      </w:r>
      <w:proofErr w:type="spellEnd"/>
      <w:r w:rsidRPr="0019337E">
        <w:rPr>
          <w:rFonts w:cs="Times"/>
        </w:rPr>
        <w:t xml:space="preserve"> Mine by using plastic scintillation </w:t>
      </w:r>
      <w:proofErr w:type="gramStart"/>
      <w:r w:rsidRPr="0019337E">
        <w:rPr>
          <w:rFonts w:cs="Times"/>
        </w:rPr>
        <w:t>counters[</w:t>
      </w:r>
      <w:proofErr w:type="gramEnd"/>
      <w:r w:rsidRPr="0019337E">
        <w:rPr>
          <w:rFonts w:cs="Times"/>
        </w:rPr>
        <w:t xml:space="preserve">2]. The nearly vertical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was obtained in three locations: on the </w:t>
      </w:r>
      <w:proofErr w:type="gramStart"/>
      <w:r w:rsidRPr="0019337E">
        <w:rPr>
          <w:rFonts w:cs="Times"/>
        </w:rPr>
        <w:t>surface(</w:t>
      </w:r>
      <w:proofErr w:type="gramEnd"/>
      <w:r w:rsidRPr="0019337E">
        <w:rPr>
          <w:rFonts w:cs="Times"/>
        </w:rPr>
        <w:t>1.149e-2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 xml:space="preserve">^{-1}), </w:t>
      </w:r>
      <w:r w:rsidRPr="0019337E">
        <w:rPr>
          <w:rFonts w:cs="Times"/>
        </w:rPr>
        <w:lastRenderedPageBreak/>
        <w:t>at the 800ft level(2.67e-6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>^{-1}), and at the 2000ft level(2.56e-7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 xml:space="preserve">^{-1}). These fluxes agree </w:t>
      </w:r>
      <w:r w:rsidR="004F0EAB">
        <w:rPr>
          <w:rFonts w:cs="Times"/>
        </w:rPr>
        <w:t xml:space="preserve">well with model </w:t>
      </w:r>
      <w:proofErr w:type="gramStart"/>
      <w:r w:rsidR="004F0EAB">
        <w:rPr>
          <w:rFonts w:cs="Times"/>
        </w:rPr>
        <w:t>predictions[</w:t>
      </w:r>
      <w:proofErr w:type="gramEnd"/>
      <w:r w:rsidR="004F0EAB">
        <w:rPr>
          <w:rFonts w:cs="Times"/>
        </w:rPr>
        <w:t xml:space="preserve">3]. </w:t>
      </w:r>
      <w:r w:rsidR="00B7563B">
        <w:rPr>
          <w:rFonts w:cs="Times"/>
        </w:rPr>
        <w:t xml:space="preserve"> The integrated </w:t>
      </w:r>
      <w:proofErr w:type="spellStart"/>
      <w:r w:rsidR="00B7563B">
        <w:rPr>
          <w:rFonts w:cs="Times"/>
        </w:rPr>
        <w:t>muon</w:t>
      </w:r>
      <w:proofErr w:type="spellEnd"/>
      <w:r w:rsidR="00B7563B">
        <w:rPr>
          <w:rFonts w:cs="Times"/>
        </w:rPr>
        <w:t xml:space="preserve"> fluxes for different depth are compared in Figure 2.</w:t>
      </w:r>
    </w:p>
    <w:p w14:paraId="5B78EA53" w14:textId="77777777" w:rsidR="004F0EAB" w:rsidRDefault="004F0EAB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bookmarkStart w:id="0" w:name="_GoBack"/>
      <w:r>
        <w:rPr>
          <w:rFonts w:cs="Times"/>
          <w:noProof/>
        </w:rPr>
        <w:drawing>
          <wp:inline distT="0" distB="0" distL="0" distR="0" wp14:anchorId="73F789B2" wp14:editId="7A6A6CFE">
            <wp:extent cx="5486400" cy="3424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h_co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C262FE" w14:textId="77777777" w:rsidR="004F0EAB" w:rsidRPr="0019337E" w:rsidRDefault="004F0EAB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 xml:space="preserve">Figure 2. Integrated </w:t>
      </w:r>
      <w:proofErr w:type="spellStart"/>
      <w:r>
        <w:rPr>
          <w:rFonts w:cs="Times"/>
        </w:rPr>
        <w:t>muon</w:t>
      </w:r>
      <w:proofErr w:type="spellEnd"/>
      <w:r>
        <w:rPr>
          <w:rFonts w:cs="Times"/>
        </w:rPr>
        <w:t xml:space="preserve"> flux as a function of depth, compared against a flat-earth model. This model is used to extra</w:t>
      </w:r>
      <w:r w:rsidR="00AB0517">
        <w:rPr>
          <w:rFonts w:cs="Times"/>
        </w:rPr>
        <w:t xml:space="preserve">polate to the 4850 and 7400 </w:t>
      </w:r>
      <w:proofErr w:type="spellStart"/>
      <w:r w:rsidR="00AB0517">
        <w:rPr>
          <w:rFonts w:cs="Times"/>
        </w:rPr>
        <w:t>ft</w:t>
      </w:r>
      <w:proofErr w:type="spellEnd"/>
      <w:r w:rsidR="00AB0517">
        <w:rPr>
          <w:rFonts w:cs="Times"/>
        </w:rPr>
        <w:t xml:space="preserve"> level at </w:t>
      </w:r>
      <w:proofErr w:type="spellStart"/>
      <w:r w:rsidR="00AB0517">
        <w:rPr>
          <w:rFonts w:cs="Times"/>
        </w:rPr>
        <w:t>Homestake</w:t>
      </w:r>
      <w:proofErr w:type="spellEnd"/>
      <w:r w:rsidR="00AB0517">
        <w:rPr>
          <w:rFonts w:cs="Times"/>
        </w:rPr>
        <w:t>.</w:t>
      </w:r>
    </w:p>
    <w:p w14:paraId="645C993E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F6FB9BD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 xml:space="preserve">[1] M.L. Cherry, et al., </w:t>
      </w:r>
      <w:proofErr w:type="spellStart"/>
      <w:r w:rsidRPr="0019337E">
        <w:rPr>
          <w:rFonts w:cs="Times"/>
        </w:rPr>
        <w:t>Phys.Rev.D</w:t>
      </w:r>
      <w:proofErr w:type="spellEnd"/>
      <w:r w:rsidRPr="0019337E">
        <w:rPr>
          <w:rFonts w:cs="Times"/>
        </w:rPr>
        <w:t xml:space="preserve"> 27(</w:t>
      </w:r>
      <w:proofErr w:type="gramStart"/>
      <w:r w:rsidRPr="0019337E">
        <w:rPr>
          <w:rFonts w:cs="Times"/>
        </w:rPr>
        <w:t>1983)1444</w:t>
      </w:r>
      <w:proofErr w:type="gramEnd"/>
      <w:r w:rsidRPr="0019337E">
        <w:rPr>
          <w:rFonts w:cs="Times"/>
        </w:rPr>
        <w:t>.</w:t>
      </w:r>
    </w:p>
    <w:p w14:paraId="0C3555D0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>[2] F.E. Gray, et al., NIMA 638(</w:t>
      </w:r>
      <w:proofErr w:type="gramStart"/>
      <w:r w:rsidRPr="0019337E">
        <w:rPr>
          <w:rFonts w:cs="Times"/>
        </w:rPr>
        <w:t>2011)63</w:t>
      </w:r>
      <w:proofErr w:type="gramEnd"/>
      <w:r w:rsidRPr="0019337E">
        <w:rPr>
          <w:rFonts w:cs="Times"/>
        </w:rPr>
        <w:t>-66.</w:t>
      </w:r>
    </w:p>
    <w:p w14:paraId="7529D158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>[3] D</w:t>
      </w:r>
      <w:proofErr w:type="gramStart"/>
      <w:r w:rsidRPr="0019337E">
        <w:rPr>
          <w:rFonts w:cs="Times"/>
        </w:rPr>
        <w:t>.-</w:t>
      </w:r>
      <w:proofErr w:type="gramEnd"/>
      <w:r w:rsidRPr="0019337E">
        <w:rPr>
          <w:rFonts w:cs="Times"/>
        </w:rPr>
        <w:t xml:space="preserve">M. Mei, A. </w:t>
      </w:r>
      <w:proofErr w:type="spellStart"/>
      <w:r w:rsidRPr="0019337E">
        <w:rPr>
          <w:rFonts w:cs="Times"/>
        </w:rPr>
        <w:t>Hime</w:t>
      </w:r>
      <w:proofErr w:type="spellEnd"/>
      <w:r w:rsidRPr="0019337E">
        <w:rPr>
          <w:rFonts w:cs="Times"/>
        </w:rPr>
        <w:t>, Phys. Rev. D 73(2006)053004.</w:t>
      </w:r>
    </w:p>
    <w:p w14:paraId="6051136E" w14:textId="77777777" w:rsidR="0059607D" w:rsidRDefault="0059607D"/>
    <w:sectPr w:rsidR="0059607D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5"/>
    <w:rsid w:val="0000043B"/>
    <w:rsid w:val="004F0EAB"/>
    <w:rsid w:val="0059607D"/>
    <w:rsid w:val="008E1991"/>
    <w:rsid w:val="00A65F05"/>
    <w:rsid w:val="00AB0517"/>
    <w:rsid w:val="00B75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F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05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05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Macintosh Word</Application>
  <DocSecurity>0</DocSecurity>
  <Lines>17</Lines>
  <Paragraphs>5</Paragraphs>
  <ScaleCrop>false</ScaleCrop>
  <Company>University of Minnesota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Chao Zhang</cp:lastModifiedBy>
  <cp:revision>3</cp:revision>
  <dcterms:created xsi:type="dcterms:W3CDTF">2013-01-30T22:18:00Z</dcterms:created>
  <dcterms:modified xsi:type="dcterms:W3CDTF">2013-01-30T22:23:00Z</dcterms:modified>
</cp:coreProperties>
</file>